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ATAS/931/2017 vom 20. Oktober 2017</w:t>
      </w:r>
    </w:p>
    <w:p>
      <w:r>
        <w:t>GE Cour de justice, 2017-10-20, FR</w:t>
      </w:r>
    </w:p>
    <w:p>
      <w:r>
        <w:rPr>
          <w:b/>
        </w:rPr>
        <w:t xml:space="preserve">Quelle: </w:t>
      </w:r>
      <w:r>
        <w:t>https://mcp.opencaselaw.ch/entscheid/ge_gerichte_ATAS_931_2017</w:t>
      </w:r>
    </w:p>
    <w:p>
      <w:r>
        <w:t>FR: GE_GERICHTE ATAS/931/2017 du 20 octobre 2017</w:t>
      </w:r>
    </w:p>
    <w:p>
      <w:r>
        <w:t>IT: GE_GERICHTE ATAS/931/2017 del 20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A/4199/2016 - 16/28 -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du recourant, singulièrement sur la question de sa capacité de travail dans une activité adaptée, et sur le taux de l’indemnité pour atteinte à l’intégrité.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w:t>
      </w:r>
    </w:p>
    <w:p>
      <w:r>
        <w:t>A/4199/2016 - 17/28 -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 ATF 125 V 193 consid. 2 ; RAMA 2000 n° U 363 p. 46).</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8</w:t>
      </w:r>
    </w:p>
    <w:p>
      <w:r>
        <w:t>a. Aux termes de l’art. 24 al.1 LAA, si par suite d’un accident, l’assuré souffre d’une atteinte importante et durable à son intégrité physique, mentale ou psychique, il a droit à une indemnité équitable pour atteinte à l’intégrité.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w:t>
      </w:r>
    </w:p>
    <w:p>
      <w:r>
        <w:t>A/4199/2016 - 18/28 -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9</w:t>
      </w:r>
    </w:p>
    <w:p>
      <w:r>
        <w:t>a. Depuis le 1er janvier 2008, le montant maximum du gain assuré s’élève à CHF 126’000.- par an et CHF 346.- par jour (art. 22 al. 1 de l’ordonnance sur l’assurance-accidents du 20 décembre 1982 [OLAA - RS 832.202]). À teneur de l’art. 36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b.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w:t>
      </w:r>
    </w:p>
    <w:p>
      <w:r>
        <w:rPr>
          <w:b/>
        </w:rPr>
        <w:t>E. 10</w:t>
      </w:r>
    </w:p>
    <w:p>
      <w:r>
        <w:t>a.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(ch.1 al. 2 1ère phrase). Les atteintes à l’intégrité pour lesquelles un taux</w:t>
      </w:r>
    </w:p>
    <w:p>
      <w:r>
        <w:t>A/4199/2016 - 19/28 - inférieur à 5%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La table 5.2 prévoit un taux d'atteinte à l'intégrité compris entre 5 et 10% pour une arthrose moyenne radiocarpienne ou intracarpienne. Lorsque l’arthrose est grave, le taux est compris en 10 et 25%. Si l’articulation présente en outre une instabilité, le taux le plus élevé doit être retenu.</w:t>
      </w:r>
    </w:p>
    <w:p>
      <w:r>
        <w:rPr>
          <w:b/>
        </w:rPr>
        <w:t>E. 11</w:t>
      </w:r>
    </w:p>
    <w:p>
      <w:r>
        <w:t>a. Aux termes de l’art. 36 al. 4 OLAA, il sera équitablement tenu compte des aggravations prévisibles de l’atteinte à l’intégrité. Une révision n’est possible qu’en cas exceptionnel si l’aggravation est importante et n’était pas prévisible. b.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w:t>
      </w:r>
    </w:p>
    <w:p>
      <w:r>
        <w:t>A/4199/2016 - 20/28 - aggravation de l’atteinte à la santé puisse être considérée comme une circonstance établie, cette aggravation n’en est pour autant pas quantifiable, si bien qu’elle ne peut être prise en considération » (arrêt du Tribunal fédéral des assurances U 173/00 du 22 septembre 2000 consid. 2).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w:t>
      </w:r>
    </w:p>
    <w:p>
      <w:r>
        <w:rPr>
          <w:b/>
        </w:rPr>
        <w:t>E. 12</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des assurances a posé des lignes directrices en ce qui concerne la manière d’apprécier certains types d’expertises ou de rapports médicaux (ATF 125 V 351 consid. 3b).</w:t>
      </w:r>
    </w:p>
    <w:p>
      <w:r>
        <w:t>A/4199/2016 - 21/28 -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w:t>
      </w:r>
    </w:p>
    <w:p>
      <w:r>
        <w:t>A/4199/2016 - 22/28 - invoqués par les parties pour la simple raison qu’ils n’auraient pas été prouvés (VSI 5/1994 220 consid. 4a). En particulier, ils doivent mettre en œuvre une expertise lorsqu’il apparaît nécessaire de clarifier les aspects médicaux du cas (ATF 117 V 282 consid. 4a ; RAMA 1985 p. 240 consid. 4 ; arrêt du Tribunal fédéral des assurances I 751/03 du 19 mars 2004 consid. 3.3).</w:t>
      </w:r>
    </w:p>
    <w:p>
      <w:r>
        <w:rPr>
          <w:b/>
        </w:rPr>
        <w:t>E. 15</w:t>
      </w:r>
    </w:p>
    <w:p>
      <w:r>
        <w:t>En l’espèce, le recourant conteste les conclusions de l’intimée relative à sa capacité de travail résiduelle dans une activité adaptée et, partant, le calcul de son degré d’invalidité.</w:t>
      </w:r>
    </w:p>
    <w:p>
      <w:r>
        <w:rPr>
          <w:b/>
        </w:rPr>
        <w:t>E. 16</w:t>
      </w:r>
    </w:p>
    <w:p>
      <w:r>
        <w:t>Il convient donc d’examiner la valeur probante des rapports du Dr G______, notamment ceux des 19 mars et 3 septembre 2014, 8 janvier et 13 octobre 2015, ainsi que celle du rapport de la CRR du 8 décembre 2015, documents sur lesquels l’intimée a fondé la décision litigieuse.</w:t>
      </w:r>
    </w:p>
    <w:p>
      <w:r>
        <w:rPr>
          <w:b/>
        </w:rPr>
        <w:t>E. 17</w:t>
      </w:r>
    </w:p>
    <w:p>
      <w:r>
        <w:t>En ce qui concerne l’appréciation du Dr G______, elle est manifestement entachée d’erreur dès lors que ce médecin a considéré à tort que le poignet gauche du recourant n’était pas atteint d’arthrose (cf. avis du 3 septembre 2014). En outre, le médecin d’arrondissement a retenu, sans justification aucune, que certaines lésions de ce membre étaient d’origine maladive et ne devaient pas être prises en considération par l’intimée (cf. avis des 19 mars et 24 septembre et 8 janvier 2015), ce qui a par la suite été expressément contredit par un autre médecin de l’intimée. À l’inverse, il a évoqué le diagnostic de maladie de Dupuytren, mais ne s’est pas prononcé sur le lien de causalité entre cette affection et l’accident du 14 juin 2012, ni n’a précisé si cette atteinte était susceptible d’entrainer des limitations fonctionnelles. De surcroît, le Dr G______ n’a aucunement motivé ses conclusions relatives à la capacité de travail dans une activité adaptée. Il est particulièrement surprenant qu’il ait considéré que la mobilité au niveau des poignets n’était que légèrement limitée, alors qu’il a relevé une mobilité en extension de 45° des deux côtés (cf. avis du 19 mars 2014) et que l’amplitude normale avoisine les 60°. À cet égard, il est regrettable que le médecin-conseil n’ait pas indiqué les valeurs normales et qu’il ne se soit pas prononcé sur les raisons pouvant justifier des résultats sensiblement différents entre ses deux examens et ceux réalisés par le Dr H______ (cf. rapport du 28 mai 2015), le Dr I______ (cf. rapport du 2 juillet 2015) et lors du séjour à la CRR (cf. rapport du 8 décembre 2015). On relèvera encore, s’agissant des limitations fonctionnelles, que l’appréciation du Dr G______ n’a pas été suivie par le second médecin-conseil de l’intimée invité à se prononcer. Compte tenu de ces considérations, les conclusions du Dr G______ sont dénuées de toute valeur probante.</w:t>
      </w:r>
    </w:p>
    <w:p>
      <w:r>
        <w:rPr>
          <w:b/>
        </w:rPr>
        <w:t>E. 18</w:t>
      </w:r>
    </w:p>
    <w:p>
      <w:r>
        <w:t>S’agissant du rapport de la CRR, si les médecins ont relaté les doléances du recourant et semblent les avoir prises en considération, ils n’ont en revanche pas établi d’anamnèse ni n’ont résumé les rapports rendus avant eux par les autres spécialistes, de sorte qu’il n’est pas possible de déterminer s’ils ont eu accès à</w:t>
      </w:r>
    </w:p>
    <w:p>
      <w:r>
        <w:t>A/4199/2016 - 23/28 - l’intégralité du dossier médical du recourant. De plus, les médecins de la CRR ont posé des diagnostics qui n’avaient jusque-là pas été évoqués, en particulier une neuropathie du nerf médian au canal carpien, compatible avec un syndrome du tunnel carpien des deux côtés. Toutefois, il n’est fait aucune mention du lien de causalité entre ce trouble et le sinistre assuré et on ignore si des facteurs étrangers à l’accident ont contribué à cette atteinte, cas échéant dans quelle mesure. De plus, les médecins de la CRR ont indiqué que les plaintes et les limitations fonctionnelles s’expliquaient principalement par les lésions objectives constatées, tout en remettant en cause la bonne volonté du recourant et en jugeant moyenne sa participation aux différentes thérapies, limitée par les douleurs et les autolimitations. À cet égard, il sied de relever que les médecins de la CRR ont consigné les résultats de leurs examens articulaires, sans préciser si les limitations de mobilité observées résultaient des douleurs subjectives, des séquelles de l’accident ou d’une éventuelle atteinte d’origine maladive. En outre, ils ont considéré que la situation n’était pas complètement stabilisée du point de vue médical et des aptitudes fonctionnelles, une éventuelle intervention chirurgicale étant envisagée. Ils ont estimé que le recourant resterait « à terme » limité pour les activités nécessitant des mouvements répétitifs des poignets en flexion et extension, et en inclinaison radio-ulnaire et pour le port de charges de plus de 5 kg. On ignore cependant si les restrictions précitées tiennent réellement compte de l’état de santé actuel du recourant, étant rappelé que l’intervention envisagée n’a finalement pas été réalisée. Enfin, le rapport précise que le pronostic de réinsertion dans une activité adaptée respectant les restrictions retenues est défavorable en lien avec les facteurs contextuels, mais ne se prononce pas expressément sur le taux de la capacité de travail exigible et sur une éventuelle diminution de rendement. Dans ces conditions, le rapport de la CRR du 8 décembre 2015 ne saurait se voir reconnaître une pleine valeur probante. L’intimée ne pouvait donc pas se fonder sur ce document pour retenir une capacité de travail entière dans une activité conforme aux limitations fonctionnelles y énoncées.</w:t>
      </w:r>
    </w:p>
    <w:p>
      <w:r>
        <w:rPr>
          <w:b/>
        </w:rPr>
        <w:t>E. 19</w:t>
      </w:r>
    </w:p>
    <w:p>
      <w:r>
        <w:t>Enfin, la chambre de céans constate que le rapport du 7 février 2017 de la Dresse Q_____ ne permet pas de pallier aux insuffisances des appréciations du Dr G______, dès lors que celle-ci se limite pour l’essentiel à résumer les pièces du dossier et à confirmer que le recourant a présenté une fracture complexe nécessitant un traitement chirurgical, ce qui n’a jamais été contesté. Les limitations fonctionnelles retenues par la Dresse Q_____ correspondent à celles de la CRR (pas de ports de charges répétés de plus de 5 kg, pas de mouvements répétitifs des deux poignets en extension et flexion, ainsi qu’en pronation et supination) et à celles du Dr G______ (pas d’utilisation d’outils vibratoires ou de perçage). La seule explication livrée à ce sujet concerne la diminution à 5 kg de la limite du port de charge arrêtée par le Dr G______ à 10 kg, au motif qu’un tel poids représenterait une surcharge de l’articulation déjà lésée et serait contre-productif pour l’évolution de l’arthrose.</w:t>
      </w:r>
    </w:p>
    <w:p>
      <w:r>
        <w:t>A/4199/2016 - 24/28 - Les restrictions précitées, toute générales, ne permettent pas de déterminer quelle activité le recourant pourrait encore exercer, faute d’indiquer avec précision quels mouvements sont désormais impossibles à réaliser compte tenu du manque de mobilité et de force, et quels gestes doivent être évités, et dans quelle mesure, en raison des douleurs ou du risque d’aggravation des lésions. La lecture des rapports produits ne permet notamment pas de déterminer si les limitations fonctionnelles résultent de mesures d’épargne ou d’une perte de mobilité et de force. Pour le surplus, les conclusions de la Dresse Q_____ quant à une capacité de travail entière, sans diminution de rendement, ne reposent sur aucune motivation. Partant, son appréciation ne répond pas non plus aux réquisits jurisprudentiels permettant de lui reconnaître une pleine valeur probante.</w:t>
      </w:r>
    </w:p>
    <w:p>
      <w:r>
        <w:rPr>
          <w:b/>
        </w:rPr>
        <w:t>E. 20</w:t>
      </w:r>
    </w:p>
    <w:p>
      <w:r>
        <w:t>Enfin, les autres rapports produits dans le cadre de la présente procédure ne contiennent aucune appréciation de la capacité de travail résiduelle ni description des contre-indications présentées par le recourant.</w:t>
      </w:r>
    </w:p>
    <w:p>
      <w:r>
        <w:rPr>
          <w:b/>
        </w:rPr>
        <w:t>E. 21</w:t>
      </w:r>
    </w:p>
    <w:p>
      <w:r>
        <w:t>Le recourant conteste également le taux de l’indemnité pour atteinte à l’intégrité.</w:t>
      </w:r>
    </w:p>
    <w:p>
      <w:r>
        <w:rPr>
          <w:b/>
        </w:rPr>
        <w:t>E. 22</w:t>
      </w:r>
    </w:p>
    <w:p>
      <w:r>
        <w:t>L’intimée a modifié son appréciation et estime désormais ladite indemnité à 32%, sur la base du rapport de la Dresse Q_____ du 7 février 2017. Cependant, la Dresse Q_____ n’a livré aucune information détaillée sur l’état de l’arthrose présentée par le recourant, qu’elle qualifie de « moyenne à grave » pour le poignet gauche et de « grave » pour le poignet droit. Son estimation est basée sur les éléments d’imagerie datant du mois de mai 2015, lorsque l’arthrose était décrite comme « franche » et « large ». Toutefois, on ignore si d’autres examens radiologiques ont été effectués, en particulier si l’arthrose a évolué depuis lors. En outre, la Dresse Q_____ n’a pas non plus indiqué si les troubles présentés par le recourant à ses deux poignets constituaient une « instabilité » devant également être indemnisée. C’est encore le lieu de constater que la Dresse Q_____ n’a pas pris position sur l’existence d’une aggravation prévisible, alors que le Dr G______ avait évoqué une éventuelle détérioration, sans autre précision. Par conséquent, les conclusions de la Dresse Q_____ quant au taux de l’indemnité pour atteinte à l’intégrité ne sauraient à ce stade être confirmées.</w:t>
      </w:r>
    </w:p>
    <w:p>
      <w:r>
        <w:rPr>
          <w:b/>
        </w:rPr>
        <w:t>E. 23</w:t>
      </w:r>
    </w:p>
    <w:p>
      <w:r>
        <w:t>Au vu de ce qui précède, il apparaît que la décision attaquée repose sur une instruction manifestement insuffisante qui ne permet pas à la chambre de céans de trancher le litige. Partant, une expertise orthopédique sera confiée au docteur R_____, spécialiste FMH en chirurgie orthopédique.</w:t>
      </w:r>
    </w:p>
    <w:p>
      <w:r>
        <w:rPr>
          <w:b/>
        </w:rPr>
        <w:t>E. 24</w:t>
      </w:r>
    </w:p>
    <w:p>
      <w:r>
        <w:t>S’agissant des questions complémentaires à la mission d’expertise requises par la SUVA, elles sont admises et seront intégrées à la mission d’expertise.</w:t>
      </w:r>
    </w:p>
    <w:p>
      <w:r>
        <w:t>A/4199/2016 - 25/28 - PAR CES MOTIFS, LA CHAMBRE DES ASSURANCES SOCIALES : Statuant À la forme : 1. Déclare le recours recevable. Préparatoirement : 2. Ordonne une expertise orthopédique du recourant et la confie au docteur R_____, spécialiste FMH en chirurgie orthopédique et traumatologie de l'appareil locomoteur et en chirurgie de la main, à Fribourg. 3. Dit que la mission d’expertise sera la suivante : a. Prendre connaissance du dossier de la cause. b. Si nécessaire, prendre tous renseignements auprès des médecins ayant traité le recourant, notamment les Drs H______ et P_____. c. Examiner personnellement le recourant, avec l’assistance d’un interprète en langue portugaise, inscrit au Registre des interprètes et traducteurs du Pouvoir judiciaire du canton de Fribourg. d. Si nécessaire ordonner d’autres examens. e. Établir un rapport détaillé et répondre aux questions suivantes : 1. Quelle est l’anamnèse détaillée du cas (anamnèse professionnelle et sociale - évolution et résultat des thérapies) ? 2. Quelles sont les plaintes du recourant ? 3. Quel est le status clinique ? 4. Quels sont les diagnostics ? Depuis quand sont-ils présents et comment ont-ils évolué ? Lesquels de ces diagnostics ont-ils une répercussion sur la capacité de travail ? 5. Les atteintes à la santé sont-elles objectivables ? 6. Existe-t-il une discordance entre les plaintes du recourant et les constatations objectives ? Si oui, veuillez l’expliquer. 7. L’accident du 14 juin 2012 est-il la cause unique ou une cause partielle (« condition sine qua non ») des atteintes à la santé du recourant ?</w:t>
      </w:r>
    </w:p>
    <w:p>
      <w:r>
        <w:t>A/4199/2016 - 26/28 - Plus précisément, quel est le degré de probabilité du lien de causalité : est- il seulement possible (moins de 50% dû à l’accident), probable (plus de 50% dû à l’accident) ou certain (100% dû à l’accident) ? Plus précisément, d’un point de vue objectif, des motifs importants plaident-ils pour l’existence d’une telle relation de causalité ? Le cas échéant, d’autres possibilités revêtent-elles une importance significative ou entrent-elles raisonnablement en considération ? Veuillez motiver le lien de causalité naturelle pour chaque diagnostic posé. 8. Le cas échéant, quels sont les facteurs étrangers à l’accident du 14 juin 2012 (maladifs, dégénératifs, accidentels, autres) qui ont contribué, avec ledit accident en question, à la survenance de l’atteinte, respectivement des atteintes à la santé du recourant ? Pour chaque atteinte, quel rôle ont joué les causes étrangères à l’accident ? Ce rôle s’est-il modifié au cours de l’évolution de l’état de santé de l’assuré ? 9. L’accident du 14 juin 2012 a-t-il déclenché un processus qui serait de toute façon survenu sans cet événement ? Veuillez motiver. 10. Quels ont été les traitements prodigués ? Sont-ils terminés ? Si non, quels traitements sont encore nécessaires ? 11. Peut-on attendre de la poursuite d’un traitement médical une notable amélioration de l’état de santé du recourant ? Si non, à partir de quel moment ne peut-on plus attendre de la continuation du traitement médical une notable amélioration de l’état de santé du recourant (état final atteint) ? Quelles atteintes restent imputables à l’accident depuis la stabilisation de l’état de santé de l’assuré ? 12. Quelles sont les limitations fonctionnelles (mouvements, activités ou astreintes qui ne peuvent plus être exécutés par le recourant) liées à chaque diagnostic retenu, puis globalement, puis au regard des seuls diagnostics en relation de causalité avec l’accident ? 13. Les diagnostics retenus entraînent-ils une incapacité de travail durable? 14. Quelle est la capacité de travail du recourant dans son activité habituelle et son évolution dans le temps depuis le 14 juin 2012, en pourcent, en distinguant les diagnostics retenus (en lien de causalité ou non avec l’accident) ? Y-a-t-il une diminution de rendement? Si oui, dans quelle mesure et en raison de quelles atteintes ?</w:t>
      </w:r>
    </w:p>
    <w:p>
      <w:r>
        <w:t>A/4199/2016 - 27/28 - 15. Une activité lucrative adaptée aux limitations fonctionnelles occasionnées par l’accident du 14 juin 2012 est-elle raisonnablement exigible de la part du recourant? Si oui, à quel taux et depuis quand? Le taux a-t-il évolué? Si oui, comment et quand? Veuillez donner une description précise des activités adaptées. 16. Quel est le pronostic? 17. Quel est le taux de l’indemnité pour atteinte à l’intégrité due en raison des atteintes provoquées par l’accident ? 18. Une aggravation de l’atteinte à l’intégrité est-elle prévisible ? Si oui, veuillez la quantifier. 19. Êtes-vous d’accord avec le rapport de la Dresse Q_____ du 7 février 2017 ? En particulier avec les limitations fonctionnelles retenues, l’estimation de la capacité de travail dans une activité adaptée à ces restrictions et le taux de l’indemnité pour atteinte à l’intégrité ? Si non, pourquoi ? 20. Êtes-vous d’accord avec les conclusions du rapport de la CRR du 8 décembre 2015? En particulier avec les diagnostics et les limitations fonctionnelles retenus ? Si non, pourquoi ? 21. Êtes-vous d’accord avec les avis du Dr G______, en particulier celui du 19 mars 2014 en lien avec les diagnostics et l’estimation de la capacité de travail dans une activité adaptée ? Si non, pourquoi ? 22. Existe-t-il des douleurs physiques persistantes ? Atteignent-elles une intensité particulière ? Ces douleurs doivent-elles être rattachées à un substrat organique permettant d’expliquer objectivement l’importance des plaintes ? 23. Des mesures de réadaptation professionnelle sont-elles actuellement envisageables ? 4. Faire toutes autres observations ou suggestions utiles.</w:t>
      </w:r>
    </w:p>
    <w:p>
      <w:r>
        <w:t>A/4199/2016 - 28/28 - 5. Invite l’expert à déposer à sa meilleure convenance un rapport en trois exemplaires à la chambre de céans. 6. Réserve le sort des frais jusqu’à droit jugé au fond.</w:t>
      </w:r>
    </w:p>
    <w:p>
      <w:r>
        <w:t>La greffière</w:t>
      </w:r>
    </w:p>
    <w:p>
      <w:r>
        <w:t>Isabelle CASTILLO</w:t>
      </w:r>
    </w:p>
    <w:p>
      <w:r>
        <w:t>La présidente</w:t>
      </w:r>
    </w:p>
    <w:p>
      <w:r>
        <w:t>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