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ATAS/931/2014 vom 25. August 2014</w:t>
      </w:r>
    </w:p>
    <w:p>
      <w:r>
        <w:t>GE Cour de justice, 2014-08-25, FR</w:t>
      </w:r>
    </w:p>
    <w:p>
      <w:r>
        <w:rPr>
          <w:b/>
        </w:rPr>
        <w:t xml:space="preserve">Quelle: </w:t>
      </w:r>
      <w:r>
        <w:t>https://mcp.opencaselaw.ch/entscheid/ge_gerichte_ATAS_931_2014</w:t>
      </w:r>
    </w:p>
    <w:p>
      <w:r>
        <w:t>FR: GE_GERICHTE ATAS/931/2014 du 25 août 2014</w:t>
      </w:r>
    </w:p>
    <w:p>
      <w:r>
        <w:t>IT: GE_GERICHTE ATAS/931/2014 del 25 agosto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A/3451/2013 - 20/27 -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 LAI dans sa teneur dès le 1er janvier 2008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taux d'invalidité de l'assurée, singulièrement sur sa capacité de travail résiduelle et sur les empêchements ménagers.</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t>A/3451/2013 - 21/27 - b) En vertu de l’art. 28 al. 2 LAI, l’assuré a droit à une rente entière s’il est invalide à 70% au moins, à un trois-quarts de rente s'il est invalide à 60% au moins, à une demi-rente s’il est invalide à 50% au moins, ou à un quart de rente s’il est invalide à 40% au moins.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d)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w:t>
      </w:r>
    </w:p>
    <w:p>
      <w:r>
        <w:t>A/3451/2013 - 22/27 -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7</w:t>
      </w:r>
    </w:p>
    <w:p>
      <w:r>
        <w:t>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w:t>
      </w:r>
    </w:p>
    <w:p>
      <w:r>
        <w:t>A/3451/2013 - 23/27 -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tenue d’un ménage privé permet des adaptations de l’activité aux problèmes physiques qui ne sont pas nécessairement compatibles avec les exigences de rendement propres à l’exercice similaire dans un contexte professionnel (ATF non publié du 13 avril 2005, I 593/03,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Lorsqu'il s'agit d'évaluer l'invalidité d'un assuré dans l'accomplissement de ses tâches ménagères, un empêchement ne peut être pris en compte que si la personne handicapée ne parvient plus à exécuter la tâche en question et si cette tâche doit être confiée à des tiers rétribués ou à des proches qui enregistrent de ce fait une perte de gain ou pour lesquels cela représente une charge disproportionnée (Meyer-Blaser, Bundesgesetz über die Invalidenversicherung [IVG], Zurich 1997, p. 223). c) Pour évaluer le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8</w:t>
      </w:r>
    </w:p>
    <w:p>
      <w:r>
        <w:t>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w:t>
      </w:r>
    </w:p>
    <w:p>
      <w:r>
        <w:t>A/3451/2013 - 24/27 -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On ajoutera enfin que le Tribunal fédéral a rendu une décision de principe, selon laquelle il convient de ne pas prendre en considération les données salariales régionales telles qu’elles ressortent de la table TA13 de l’ESS lors de la détermination du revenu hypothétique d’invalide (GG 10111/05). Cette décision de principe vaut également pour les données issues des « salaires d’usage par branche dans 7 régions suisses » de l’USS (ATF non publié du 22 août 2006, I 424/05). On rappellera en outre qu’il est tenu compte des empêchements propres à la personne de l’invalide dans le cadre d’une évaluation globale, pouvant aboutir à un abattement maximum de 25%, destinée à déterminer un revenu qui représente au mieux la mise en valeur économique exigible des activités compatibles avec la capacité de travail résiduelle de l’assuré (ATF 126 V 75 consid. 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A/3451/2013 - 25/27 - V 193 consid. 2). Aussi n’existe-t-il pas, en droit des assurances sociales, un principe selon lequel l’administration ou le juge devrait statuer, dans le doute, en faveur de l’assuré (ATF 126 V 319 consid. 5a).</w:t>
      </w:r>
    </w:p>
    <w:p>
      <w:r>
        <w:rPr>
          <w:b/>
        </w:rPr>
        <w:t>E. 10</w:t>
      </w:r>
    </w:p>
    <w:p>
      <w:r>
        <w:t>En l'espèce, l'évaluation de l'invalidité selon la méthode mixte n'est, à juste titre, pas contestée, l'assurée ayant travaillé en dernier lieu à 50 %, de sorte qu'il convient d'examiner séparément les conséquences de l'atteinte à la santé sur l'activité professionnelle et ménagère, puis procéder à une comparaison des revenus sur le plan professionnel.</w:t>
      </w:r>
    </w:p>
    <w:p>
      <w:r>
        <w:rPr>
          <w:b/>
        </w:rPr>
        <w:t>E. 11</w:t>
      </w:r>
    </w:p>
    <w:p>
      <w:r>
        <w:t>L’OAI fait référence au rapport d’expertise du Dr D______. Or, son rapport a été établi quelques trois ans avant la décision litigieuse. L’assurée a enduré, entretemps, un nouvel accident et l’intervention chirurgicale du 7 décembre 2011. Le médecin du SMR a indiqué le 27 septembre 2012 qu’à son avis l’intervention du 7 décembre 2011 n’avait pas modifié les limitations fonctionneles et la capacité de travail de l’assurée et qu’il convenait de s’en tenir au rapport du SMR du 14 avril 2011. Toutefois, l’expérience de mener de front son activité professionnelle, sa famille et les mesures d’intervention précoce en bureautique et en langue à compter de février 2011, n’ont pas été ni faciles ni possible à plus long terme. Les constatations faites par l’assurée et dûment relayées à l’OAI respectivement les 23 et 30 mars 2011, 19 mai 2011 et 18 août 2011 en témoignent. Le temps investi dans les mesures professionnelles avait dû être réduit, démontrant les limites de la patiente. Or, cet épisode, significatif sur le plan des limitations de la patiente, est survenu ultérieurement au rapport d’expertise et n’a pas fait l’objet d’une analyse fine sur les causes précises de l’impossibilité de cumuler ces tâches. L’incapacité totale de travailler, dans n’importe quelle activité, a été mise en avant, même après l’intervention chirurgicale de décembre 2011, tant par les dr I______, que par les Drs G______ et K______. La situation ayant évolué sur plusieurs aspects, il ne peut pas être retenu pleine valeur probante au rapport du Dr D______ du 13 septembre 2010.</w:t>
      </w:r>
    </w:p>
    <w:p>
      <w:r>
        <w:rPr>
          <w:b/>
        </w:rPr>
        <w:t>E. 12</w:t>
      </w:r>
    </w:p>
    <w:p>
      <w:r>
        <w:t>L’OAI s’est fondée sur l’ESS pour fixer le revenu que pourrait percevoir la recourante. Il a cité, au titre d’activités professionnelles, des activités telles que hôtesse d’accueil, commise administrative, vendeuse etc. Compte tenu toutefois du fait que Mme A______ présente au titre de limitation fonctionnelle l’impossibilité de porter des charges avec sa main gauche et de faire des mouvements fins et répétitifs, il est difficile de savoir si l’assurée pourrait travailler en qualité de vendeuse ou de commise administrative, la main gauche semblant effectivement fréquemment sollicitée.</w:t>
      </w:r>
    </w:p>
    <w:p>
      <w:r>
        <w:rPr>
          <w:b/>
        </w:rPr>
        <w:t>E. 13</w:t>
      </w:r>
    </w:p>
    <w:p>
      <w:r>
        <w:t>La question de la fatigabilité citée par le Dr G______ n’a pas non plus été investiguée, alors même que l’assurée a, à plusieurs reprises, mentionné à l’OAI ne pas pouvoir suivre de front les cours proposés, son activité professionnelle et ses contraintes familiales, ce que l’OAI a respecté en allégeant le programme de l’assurée notamment pendant l’année 2011.</w:t>
      </w:r>
    </w:p>
    <w:p>
      <w:r>
        <w:t>A/3451/2013 - 26/27 -</w:t>
      </w:r>
    </w:p>
    <w:p>
      <w:r>
        <w:rPr>
          <w:b/>
        </w:rPr>
        <w:t>E. 14</w:t>
      </w:r>
    </w:p>
    <w:p>
      <w:r>
        <w:t>Enfin, il ressort de l’avis médical de la Dresse N______ et surtout de ses déclarations en audience que l’épisode dépressif sévère semble antérieur à la date de la décision de l’OAI. Cette symptomatologie n’ayant pas du tout été investiguée, il convient de renvoyer le dossier à l’OAI pour instruction sur le plan psychiatrique, solution à laquelle l’intimée ne semble pas s’opposer dès lors que dans sa prise de position du 14 juillet 2014, le SMR a conclu en indiquant qu’il « peut être souhaitable de demander la position d’experts neurologue et psychiatre ».</w:t>
      </w:r>
    </w:p>
    <w:p>
      <w:r>
        <w:rPr>
          <w:b/>
        </w:rPr>
        <w:t>E. 15</w:t>
      </w:r>
    </w:p>
    <w:p>
      <w:r>
        <w:t>Le Dr K______ a expliqué de façon détaillée et convaincante les conséquences neurologiques de l’atteinte à la santé présentée par l’assurée. Il a confirmé la crédibilité des réponses de la patiente au questionnaire, internationalement reconnu, permettant d’établir la réalité de douleurs neuropathiques. Manifestement, le médecin a considéré que Mme A______ était crédible et fiable dans l’évaluation de ses douleurs. Les conséquences neurologiques étant vraisemblables, il convient d’instruire aussi ce point, ce volet ne l’ayant pas été en l’état, étant rappelé que le Dr D______ est orthopédiste.</w:t>
      </w:r>
    </w:p>
    <w:p>
      <w:r>
        <w:rPr>
          <w:b/>
        </w:rPr>
        <w:t>E. 16</w:t>
      </w:r>
    </w:p>
    <w:p>
      <w:r>
        <w:t>Il conviendra de même de compléter l’enquête ménagère afin de tenir compte des investigations médicales complémentaires, psychiatriques et neurologiques.</w:t>
      </w:r>
    </w:p>
    <w:p>
      <w:r>
        <w:rPr>
          <w:b/>
        </w:rPr>
        <w:t>E. 17</w:t>
      </w:r>
    </w:p>
    <w:p>
      <w:r>
        <w:t>Au vu de ce qui précède, le recours sera partiellement admis et la décision du 25 septembre 2013 sera annulée, la cause étant renvoyée à l’intimé pour instruction complémentaire. La recourant, obtenant partiellement gain de cause, une indemnité de CHF 1'500.- lui sera accordée à titre de participation à ses frais et dépens (art. 61 let. 5 LPA). Etant donné que, depuis le 1er juillet 2006, la procédure n’est plus gratuite (art. 69 al. 1 bis LAI), au vu sort du recours, il y a lieu de condamner l’intimé au paiement d’un émolument de CHF 200.-.</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