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ATAS/931/2009 vom 9. Juli 2009</w:t>
      </w:r>
    </w:p>
    <w:p>
      <w:r>
        <w:t>GE Cour de justice, 2009-07-09, FR</w:t>
      </w:r>
    </w:p>
    <w:p>
      <w:r>
        <w:rPr>
          <w:b/>
        </w:rPr>
        <w:t xml:space="preserve">Quelle: </w:t>
      </w:r>
      <w:r>
        <w:t>https://mcp.opencaselaw.ch/entscheid/ge_gerichte_ATAS_931_2009</w:t>
      </w:r>
    </w:p>
    <w:p>
      <w:r>
        <w:t>FR: GE_GERICHTE ATAS/931/2009 du 9 juillet 2009</w:t>
      </w:r>
    </w:p>
    <w:p>
      <w:r>
        <w:t>IT: GE_GERICHTE ATAS/931/2009 del 9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 En l'occurrence, l'OCAI, qui a notifié sa décision sous pli simple, n'a pas apporté la preuve de la date de notification de celle-ci, de sorte qu'il faut admettre que l’assurée a reçu la décision attaquée le 12 novembre 2008, comme elle l’affirme, - ce qui n’est d’ailleurs pas contesté par l’office intimé. Interjeté ainsi en temps utile auprès de l’autorité compétente et dans les formes prescrites, par une assurée directement touchée dans ses intérêts juridiquement protégés par la décision querellée, le présent recours est recevable (art. 56 ss LPGA).</w:t>
      </w:r>
    </w:p>
    <w:p>
      <w:r>
        <w:rPr>
          <w:b/>
        </w:rPr>
        <w:t>E. 3</w:t>
      </w:r>
    </w:p>
    <w:p>
      <w:r>
        <w:t>En l'espèce, le litige porte sur le droit de la recourante à une rente d'invalidité au- delà du 30 juin 2004 ; plus particulièrement, il s'agit de savoir si son invalidité s'est modifiée depuis le 1er avril 2004, de telle manière que le droit à la rente puisse être supprimé à compter du 1er juillet suivant.</w:t>
      </w:r>
    </w:p>
    <w:p>
      <w:r>
        <w:rPr>
          <w:b/>
        </w:rPr>
        <w:t>E. 4</w:t>
      </w:r>
    </w:p>
    <w:p>
      <w:r>
        <w:t>Selon la jurisprudence, le bien-fondé d'une décision d'octroi, à titre rétroactif, d'une rente limitée dans le temps, doit être examinée à la lumière des conditions de révision du droit à la rente (ATF 125 V 413 consid. 2d p. 418 et les références).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w:t>
      </w:r>
    </w:p>
    <w:p>
      <w:r>
        <w:t>A/4512/2008 - 10/16 - consid. 3.5.2 p. 351, 125 V 368 consid. 2 p. 369 et la référence; voir également ATF 112 V 371 consid. 2b).</w:t>
      </w:r>
    </w:p>
    <w:p>
      <w:r>
        <w:rPr>
          <w:b/>
        </w:rPr>
        <w:t>E. 5</w:t>
      </w:r>
    </w:p>
    <w:p>
      <w:r>
        <w:t>Par ailleurs, l'autorité administrative ou le juge ne doivent considérer un fait comme prouvé que lorsqu'ils sont convaincus de sa réalité (Kummer, Grundriss des Zivilprozessrechts, 4e éd., Berne 1984, p. 136; Gygi, Bundesverwaltungsrechts- 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rPr>
          <w:b/>
        </w:rPr>
        <w:t>E. 6</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6.1</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w:t>
      </w:r>
    </w:p>
    <w:p>
      <w:r>
        <w:t>A/4512/2008 - 11/16 -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6.2</w:t>
      </w:r>
    </w:p>
    <w:p>
      <w:r>
        <w:t>En vertu de l'art. 61 let. c LPGA, le tribunal cantonal des assurances établit avec la collaboration des parties les faits déterminants pour la solution du litige; il administre les preuves nécessaires et les apprécie librement.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(DTA 2001 n° 22 p. 170 consid. 2, RAMA 1986 n ° K 665 p. 87) (arrêt du Tribunal fédéral 9C_162/2007 du 3 avril 2008 consid. 2.3).</w:t>
      </w:r>
    </w:p>
    <w:p>
      <w:r>
        <w:t>A/4512/2008 - 12/16 -</w:t>
      </w:r>
    </w:p>
    <w:p>
      <w:r>
        <w:rPr>
          <w:b/>
        </w:rPr>
        <w:t>E. 7</w:t>
      </w:r>
    </w:p>
    <w:p>
      <w:r>
        <w:t>Dans la décision litigieuse, l’OCAI a insisté sur le fait que la recourante est apte à exercer une activité adaptée à plein temps, dès avril 2004, en faisant totalement abstraction des règles sur la révision, comme s'il s'agissait de se prononcer pour la première fois sur le droit à la rente. En effet, son analyse ne porte que sur les circonstances médicales prévalant au moment de l'établissement des rapports du SMR (plus particulièrement l’expertise bidisciplinaire effectuée le 27 février 2007), sans déterminer si des modifications de l'état de santé de l'intéressée, par rapport à celui existant au moment supposé de la naissance du droit (au 1er juillet 2003, pour la demi-rente, respectivement le 1er février 2004 pour la rente entière), justifiaient la suppression de toute rente. Cela ne suffit toutefois pas pour justifier une révision du droit à la rente (comp. ATF non publié du 12 mars 2009, 9C_391/2008, consid. 3.1). En effet, il appartenait bien plutôt à l’administration de démonter un changement de circonstances, au sens où l’entend l’art. 17 LPGA précité (cf. consid. 4 supra). Or, en l’espèce, force est de constater qu’il n’est pas établi, au degré de vraisemblance prépondérante requis en matière d’assurances sociales (ATF 126 V 360 consid. 5b), que l’état de santé de l’assurée se serait notablement amélioré à partir du 1er avril 2004. En particulier, on relèvera que le rapport d’expertise bidisciplinaire du 23 avril 2007 n’est pas entièrement concluant, dans la mesure où il ne contient aucune motivation permettant de comprendre pour quel motif l’assurée aurait recouvré sans autre une pleine capacité de travail (avec un rendement diminué de 20%), dans une activité adaptée, dès avril 2004. Certes, dans son avis du 27 janvier 2009, le Dr T_________ (SMR), qui n’est d’ailleurs ni rhumatologue, ni psychiatre, se fondant sur le rapport du CIP du 7 mars 2008, a invoqué un prétendu comportement démonstratif de la part l’assurée. Toutefois, et indépendamment du fait que cet élément ne permet pas encore d’affirmer que l’assurée avait recouvré une pleine capacité de travail en avril 2004 (date supposée de l’amélioration de son état de santé), il faut rappeler que pour utiles qu’elles soient, les informations recueillies au cours d'un stage d'observation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261 consid. 4). Or, en l’occurrence, non seulement la démonstrativité opposée à l’assurée n’a pas été dûment corroborée par des observations médicales, mais encore, le SMR, dans son avis du 25 mai 2007, était parvenu à une conclusion apparemment contraire, en relevant que, sur le plan psychique, l’assurée ne présentait pas de majoration des symptômes. Au demeurant, nonobstant le caractère prétendument démonstratif des plaintes qu’ils ont relevé chez l’assurée, les maîtres de stages ont quand même estimé que celle-ci ne disposait pas d’une capacité de travail supérieure à 50% dans une activité adaptée.</w:t>
      </w:r>
    </w:p>
    <w:p>
      <w:r>
        <w:t>A/4512/2008 - 13/16 - Quant à l’argument du Dr T_________, selon lequel la patiente s’était présentée comme hyperalgique lors de l’examen SMR (du 27 février 2007), sans que l’on puisse mettre en évidence de signe de souffrance ou d’épargne, il n’apparaît pas convaincant. En effet, dans son rapport d’expertise du 23 avril 2007, le Dr N_________ (qui ne semble du reste pas être spécialisé en rhumatologie, contrairement à ce qu’avait pourtant expressément préconisé le SMR dans son avis du 9 août 2005) a fait uniquement état d’une « description hyperalgique » (par l’assurée) (rapport, p. 5). De plus, ce médecin a constaté qu’il existait, au niveau lombaire, un « déconditionnement musculaire manifeste », ce qui peut a priori être interprété comme un signe d’épargne. Surtout, le Dr N_________ est resté vague sur les causes exactes de la symptomatologie algique actuelle, se limitant à affirmer que celle-ci était « plutôt compatible » avec des rachialgies de désafférentation (sans autre explication) qu’avec un trouble de type irritatif (radiculopathie irritative) et que « les examens complémentaires » (sans autre précision) réalisés avaient confirmé la présence d’une fibrose postopératoire, associée à une récidive de hernie discale L5-S1, sans mise en évidence de phénomène compressif net (cf. ci-dessus, § 7). On précisera à cet égard que, dans le cadre de leur expertise, les spécialistes du SMR n’ont apparemment pas disposé de radiographies postérieures au</w:t>
      </w:r>
    </w:p>
    <w:p>
      <w:r>
        <w:rPr>
          <w:b/>
        </w:rPr>
        <w:t>E. 7.1</w:t>
      </w:r>
    </w:p>
    <w:p>
      <w:r>
        <w:t>Dun autre côté, si les avis des médecins traitants sont unanimes pour reconnaître que la patiente ne dispose pas, dans une activité adaptée, d’une capacité de travail résiduelle supérieure à 50% en tout cas, leur avis divergent cependant quant à la question de savoir si l’assurée présente, depuis le 1er avril 2004, une incapacité de travail complète dans toute activité.</w:t>
      </w:r>
    </w:p>
    <w:p>
      <w:r>
        <w:rPr>
          <w:b/>
        </w:rPr>
        <w:t>E. 7.2</w:t>
      </w:r>
    </w:p>
    <w:p>
      <w:r>
        <w:t>Dans ces conditions, on ne saurait admettre, en l'absence d'une indication claire des faits établis, une modification de l'état de santé de la recourante propre à justifier une suppression pure et simple de son droit à une rente (totale ou partielle). L’absence d’indication convaincante, par le SMR, sur l'évolution de l’état de santé de l'intéressée après le 1er avril 2004 semble ainsi mettre en doute le bien-fondé de l'octroi de la rente litigieuse pour une période limitée. Il y a dès lors lieu d'annuler la décision entreprise et de renvoyer la cause à l'autorité inférieure afin qu'elle complète le dossier en organisant notamment une expertise bidisciplinaire de l’assurée (rhumatologique et orthopédique), auprès d’un centre d’observation médicale de l’AI (COMAI), expertise visant en particulier à déterminer si l'état de santé, respectivement la capacité de travail de la recourante, a subi un changement significatif dès avril 2004, puis statue à nouveau sur son droit éventuel à une rente d'invalidité au-delà du 30 juin 2004. 8. A toutes utiles, on relèvera encore que c’est à tort que l’OCAI n’a pas procédé à un abaissement du salaire statistique d’invalide en l’espèce, au seul motif qu’il avait déjà été tenu compte d’une baisse de rendement dans la fixation du taux de capacité de travail résiduelle. En effet, la mesure dans laquelle les salaires ressortant des</w:t>
      </w:r>
    </w:p>
    <w:p>
      <w:r>
        <w:t>A/4512/2008 - 15/16 - statistiques doivent être réduits dépend de l'ensemble des circonstances personnelles et professionnelles du cas particulier (limitations liées au handicap, âge, années de service, nationalité/catégorie d'autorisation de séjour et taux d'occupation) qui peuvent influencer le revenu d'une activité lucrative (ATF 126 V 75 consid. 5b/aa-cc p. 79). Or, les limitations fonctionnelles présentées par l’intéressée constituaient manifestement un critère objectif dont l’office intimé aurait dû prendre compte dans ce contexte (comp. ATF non publié du 27 mai 2009, 9C_963/2008, consid. 3). 9. Le recours étant partiellement admis, la recourante, représentée par une avocate, a droit à l’allocation de dépens, fixés en l'espèce à 2'500 fr. (art. 61 let. g LPGA).</w:t>
      </w:r>
    </w:p>
    <w:p>
      <w:r>
        <w:rPr>
          <w:b/>
        </w:rPr>
        <w:t>E. 10</w:t>
      </w:r>
    </w:p>
    <w:p>
      <w:r>
        <w:t>Conformément à l'art. 69 al. 1bis LAI, un émolument de 500 fr. est mis à la charge de l'intimé, qui succombe.</w:t>
      </w:r>
    </w:p>
    <w:p>
      <w:r>
        <w:t>A/4512/2008 - 16/16 -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