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ATAS/930/2023 vom 28. November 2023</w:t>
      </w:r>
    </w:p>
    <w:p>
      <w:r>
        <w:t>GE Cour de justice, 2023-11-28, FR</w:t>
      </w:r>
    </w:p>
    <w:p>
      <w:r>
        <w:rPr>
          <w:b/>
        </w:rPr>
        <w:t xml:space="preserve">Quelle: </w:t>
      </w:r>
      <w:r>
        <w:t>https://mcp.opencaselaw.ch/entscheid/ge_gerichte_ATAS_930_2023</w:t>
      </w:r>
    </w:p>
    <w:p>
      <w:r>
        <w:t>FR: GE_GERICHTE ATAS/930/2023 du 28 novembre 2023</w:t>
      </w:r>
    </w:p>
    <w:p>
      <w:r>
        <w:t>IT: GE_GERICHTE ATAS/930/2023 del 28 novembre 2023</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w:t>
      </w:r>
    </w:p>
    <w:p>
      <w:r>
        <w:rPr>
          <w:b/>
        </w:rPr>
        <w:t>E. 3</w:t>
      </w:r>
    </w:p>
    <w:p>
      <w:r>
        <w:t>Selon l'art. 22 LFLP (dans sa teneur en vigueur depuis le 1er janvier 2017), en cas de divorce, les prestations de sortie et les parts de rente sont partagées conformément aux art. 122 à 124e du CC et 280 et 281 du CPC;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w:t>
      </w:r>
    </w:p>
    <w:p>
      <w:r>
        <w:t>A/2368/2023 5/6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et 1% dès le 1er janvier 2017. En l’occurrence, les intérêts dus aux demandeurs sur la somme existant au jour du mariage ont déjà été calculés par les institutions de prévoyance défenderesses. Si le règlement de l'institution de prévoyance prévoit un taux d'intérêt supérieur pour l'avoir de vieillesse, ce taux est alors applicable (arrêt du Tribunal fédéral 9C_149/2017 du 10 octobre 2017 consid. 5.1).</w:t>
      </w:r>
    </w:p>
    <w:p>
      <w:r>
        <w:rPr>
          <w:b/>
        </w:rPr>
        <w:t>E. 4</w:t>
      </w:r>
    </w:p>
    <w:p>
      <w:r>
        <w:t>En l’espèce, le juge de première instance a ordonné le partage par moitié des prestations de sortie acquises durant le mariage par les demandeurs. Les dates pertinentes sont, d’une part, celle du mariage, le 21 septembre 2012, d’autre part le 19 novembre 2021, date à laquelle la demande en divorce a été déposée.</w:t>
      </w:r>
    </w:p>
    <w:p>
      <w:r>
        <w:rPr>
          <w:b/>
        </w:rPr>
        <w:t>E. 5</w:t>
      </w:r>
    </w:p>
    <w:p>
      <w:r>
        <w:t>Il sied de préciser que les mesures d’instruction effectuées par la chambre de céans n’ont pas permis de mettre en évidence d'autres avoirs LPP accumulés par les demandeurs durant la période du mariage que ceux mentionnés dans la partie en fait ci-dessus. Force est à cet égard de rappeler que seules les cotisations effectivement versées peuvent être prises en considération dans le cadre d'une procédure visant au partage des prestations de sortie en matière de prévoyance professionnelle (ATAS/1365/2012 du 13 novembre 2012 consid. 5).</w:t>
      </w:r>
    </w:p>
    <w:p>
      <w:r>
        <w:rPr>
          <w:b/>
        </w:rPr>
        <w:t>E. 6</w:t>
      </w:r>
    </w:p>
    <w:p>
      <w:r>
        <w:t>Selon les documents produits, la prestation acquise pendant le mariage par le demandeur est de CHF 31'676.70 (CPEG), tandis que celle acquise par la demanderesse est de CHF 1'745.29 (CHF 1'408.40 GASTROSOCIAL + CHF 336.89 FIS), les intérêts ayant déjà été calculés par les institutions de prévoyance défenderesses. Ainsi le demandeur doit à son ex-épouse le montant de CHF 15'838.35 (CHF 31'676.70 : 2) et celle-ci doit à celui-là le montant de CHF 872.65 (CHF 1'745.29 : 2), de sorte que c’est le demandeur qui doit à la demanderesse le montant de CHF 14'965.70 (CHF 15'838.35 – CHF 872.65).</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 ***</w:t>
      </w:r>
    </w:p>
    <w:p>
      <w:r>
        <w:t>A/2368/2023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