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ATAS/930/2014 vom 25. August 2014</w:t>
      </w:r>
    </w:p>
    <w:p>
      <w:r>
        <w:t>GE Cour de justice, 2014-08-25, FR</w:t>
      </w:r>
    </w:p>
    <w:p>
      <w:r>
        <w:rPr>
          <w:b/>
        </w:rPr>
        <w:t xml:space="preserve">Quelle: </w:t>
      </w:r>
      <w:r>
        <w:t>https://mcp.opencaselaw.ch/entscheid/ge_gerichte_ATAS_930_2014</w:t>
      </w:r>
    </w:p>
    <w:p>
      <w:r>
        <w:t>FR: GE_GERICHTE ATAS/930/2014 du 25 août 2014</w:t>
      </w:r>
    </w:p>
    <w:p>
      <w:r>
        <w:t>IT: GE_GERICHTE ATAS/930/2014 del 25 agosto 2014</w:t>
      </w:r>
    </w:p>
    <w:p>
      <w:pPr>
        <w:pStyle w:val="Heading2"/>
      </w:pPr>
      <w:r>
        <w:t>Erwägungen</w:t>
      </w:r>
    </w:p>
    <w:p>
      <w:r>
        <w:rPr>
          <w:b/>
        </w:rPr>
        <w:t>E. 22</w:t>
      </w:r>
    </w:p>
    <w:p>
      <w:r>
        <w:t>A l’issue de l’audience, la cause a été gardée à juger.</w:t>
      </w:r>
    </w:p>
    <w:p>
      <w:r>
        <w:t>EN DROIT</w:t>
      </w:r>
    </w:p>
    <w:p>
      <w:r>
        <w:t>A/721/2014 - 8/13 - 1. La chambre des assurances sociales de la Cour de justice connaît en instance unique des contestations prévues à l’art. 56 de la loi fédérale sur la partie générale du droit des assurances sociales du 6 octobre 2000 (LPGA; RS 830.1) relatives à la LAFam. Elle statue aussi, en application de l'art. 134 al. 3 let. e de la loi sur l'organisation judiciaire du 26 septembre 2010 (LOJ; E 2 05) en vigueur dès le 1er janvier 2011, sur les contestations prévues à l'art. 38A LAF. Sa compétence pour juger du cas d’espèce est ainsi établie. 2. A teneur de l'art. 1 LAFam, les dispositions de la LPGA s’appliquent aux allocations familiales, à moins que la loi n'y déroge expressément. L'art. 2B LAF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3. Déposé dans les forme et délai légaux, le recours est recevable (art. 56 ss LPGA et 38A al. 1 LAF). 4. Le litige porte sur l’obligation du recourant de restituer, celui-ci invoquant une violation du principe de la bonne foi par l’administration (renseignements inexacts d’une administration). 5. La LAFam et son ordonnance (OAFam; RS 836.21) sont entrées en vigueur le 1er janvier 2009. Dès lors que les prestations litigieuses sont postérieures au 1er janvier 2009, la loi précitée et son ordonnance s'appliquent en l'espèce. 6. Aux termes de l'art. 4 al. 1 let. a LAFam, les enfants avec lesquels l'ayant droit a un lien de filiation en vertu du Code civil suisse du 10 décembre 1907 (CC ; RS 210) donnent droit à des allocations. 7. Selon l’art. 7 LAFam,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w:t>
      </w:r>
    </w:p>
    <w:p>
      <w:r>
        <w:t>A/721/2014 - 9/13 - f. à la personne dont le revenu soumis à l'AVS et provenant d'une activité lucrative indépendante est le plus élevé.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(art. 7 al. 2). 8. Aux termes de l'art. 25 al. 1, 1ère phrase, LPGA, les prestations indûment touchées doivent être restituées. Le bénéficiaire des prestations allouées indûment est soumis à l’obligation de restituer (art. 2 al. 1 let. a OPGA). L'étendue de l'obligation de restituer est fixée par une décision (art. 3 al. 1 OPGA). 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(ATF 133 V 579 consid. 4.1 p. 582; 119 V 431 consid. 3a p. 433). 9.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10. Aucune des parties ne conteste que les allocations familiales versées à l'intéressé par le canton de Genève, l’ont été à tort, en lieu et place de celles que le canton de Vaud aurait dû verser. Il n’est pas contesté non plus qu’à ce titre, la caisse a versé au recourant CHF 6'300.- et que M. A______ a restitué les CHF 4'394.- obtenus par la caisse vaudoise une fois son droit rétabli. Le solde litigieux se monte à CHF 1'906.-. 11. La caisse ayant demandé en août 2013 la restitution de prestations versées en novembre 2012 pour les premières, le délai prévu à l’art. 25 al. 2 LPGA est respecté. 12. M. A______ conteste être redevable de cette somme invoquant une violation du principe de la bonne foi par l’administration. a. Valant pour l’ensemble de l’activité étatique, le principe de la bonne foi, exprimé aux art. 9 et 5 al. 3 Cst., exige que l’administration et les administrés se comportent réciproquement de manière loyale. En particulier, l’administration doit</w:t>
      </w:r>
    </w:p>
    <w:p>
      <w:r>
        <w:t>A/721/2014 - 10/13 -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Thierry TANQUEREL, Manuel de droit administratif, 2011,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c.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(Pierre MOOR/ 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 13. a. En espèce, l’administration vaudoise a clairement indiqué à M. A______ que les allocations familiales devaient être prises en charge par le canton de Genève. Les deux décisions du mois de novembre 2012 en attestent puisque dans un premier</w:t>
      </w:r>
    </w:p>
    <w:p>
      <w:r>
        <w:t>A/721/2014 - 11/13 - temps, la caisse vaudoise a pris en charge les allocations familiales, pour après révoquer cette décision et clairement considérer que la caisse genevoise était compétente. La première condition est remplie, à savoir qu’il s’agissait d’une promesse concrète effectuée à l’égard d’une personne déterminée. b. Toutefois la promesse faite l’a été par la caisse vaudoise. Or, les renseignements donnés par l’autorité vaudoise ne lient pas l’autorité genevoise. S’il est exact que la réponse donnée par l’administration vaudoise était cohérente avec le versement des allocations qu’effectuait le canton de Genève, le recourant ne peut pas se prévaloir de renseignements erronés de la part de la caisse genevoise. Autre aurait été la question si bien qu’interpellée, la caisse avait confirmé qu’il lui appartenait de poursuivre le versement, sans se rendre compte de son erreur. A ce titre la seconde condition n’est pas remplie, à savoir que l’autorité ait agi dans le cadre et dans les limites de sa compétence puisque l’autorité vaudoise, responsable des renseignements erronés, n’a pas la compétence de décider de l’octroi d’allocations familiales genevoises. c. La question de savoir si la personne concernée était en mesure, ou non, de se rendre compte de l’inexactitude du renseignement fourni est délicat. En effet, M. A______ avait dans un premier temps indiqué à la caisse genevoise que celle-ci ne serait plus compétente pour verser les allocations familiales compte tenu de la fin de son activité professionnelle. M. A______ était donc conscient qu’il n’avait plus aucune attache avec Genève puisqu’il n’y était pas domicilié, qu’il n’y travaillait plus, que son épouse n’y exerçait pas d’activité professionnelle et que même ses enfants n’y pratiquaient pas d’études. Il pouvait donc être attendu de celui-ci qu’il se rende compte que la caisse genevoise n’était plus compétente pour verser ses allocations familiales. Toutefois, force est de constater que M. A______ en était conscient et qu’il l’a dûment fait savoir tant à la caisse genevoise qu’à la caisse vaudoise. Il a informé le canton de Genève de la cessation de son activité et du fait que la caisse vaudoise prendrait sa situation en charge. Il a de même informé la caisse de chômage vaudoise de la fin de son activité professionnelle sur Genève et du fait qu’il leur appartenait d’acquitter les allocations familiales. Compte tenu cependant des deux décisions rendues par la caisse vaudoise, en toute connaissance de cause, conforté par le fait que la caisse genevoise n’avait pas cessé ses versements alors même qu’elle était au courant de l’entier de la situation, il est compréhensible que l’administré, face à la pratique concordante de deux administrations cantonales n’ait pas été en mesure de se rendre compte immédiatement de l’inexactitude du renseignement fourni. Dans le cadre de l’analyse de la bonne foi de l’administration, il peut cependant être retenu que pour pouvoir se prévaloir d’une violation du principe de la bonne foi de l’administration, il aurait encore appartenu à l’administré de vérifier le renseignement donné par la caisse vaudoise auprès de la caisse genevoise, ce d’autant plus qu’il s’agissait de l’autorité qui fournissait, en l’occurrence à tort, les prestations. La troisième condition n’est donc pas remplie.</w:t>
      </w:r>
    </w:p>
    <w:p>
      <w:r>
        <w:t>A/721/2014 - 12/13 - Il n’est pas nécessaire d’analyser plus avant le grief de l’assuré. Il résulte de ce qui précède que la caisse n’a pas violé le principe constitutionnel de la bonne foi en réclamant au recourant le solde de CHF 1'906.-. 14. Se pose la question d’une éventuelle remise de cette dette au sens de l’art. 4 al. 1 OPGA selon lequel la restitution entière ou partielle des prestations allouées indûment, mais reçues de bonne foi, ne peut être exigée si l'intéressé se trouve dans une situation difficile. L’analyse de la bonne foi de l’assuré, dans le cadre de la demande de remise, n’est pas identique à l’analyse de l’éventuelle violation du principe de la bonne foi par l’administration telle que faite ci-dessus. En l’espèce, la caisse a admis, à juste titre, la bonne foi de l’administré dans le cadre de l’analyse qu’elle avait déjà faite pour une éventuelle remise, compte tenu principalement du fait que l’assuré l’avait dûment tenue informée de la cessation de son activité professionnelle et qu’il s’était annoncé à la caisse vaudoise. Le dossier sera renvoyé à la caisse pour l’analyse de la seconde condition de la remise relative à la situation financière de l’intéressé. 15. Afin d’éviter toute ambiguïté, et compte tenu du fait que l’intimée a abordé la problématique de la remise avant que la question de la restitution ne soit définitive, la décision initiale, la décision sur opposition et celle prise, en cours de procédure par l’intimée en annulation de la précédente seront toutes trois annulées. Le montant de la restitution est fixé à CHF 6'300.- dont CHF 4'394.- ont déjà été remboursés. Le solde CHF 1'906.-, sujet à litige, doit faire l’objet d’un examen sur remise étant relevé qu’à juste titre, la caisse a déjà retenu que la première condition nécessaire et cumulative de la bonne foi de l’assuré était remplie. Le dossier est donc renvoyé à l’intimée pour analyse de la situation financière de l’intéressé.</w:t>
      </w:r>
    </w:p>
    <w:p>
      <w:r>
        <w:t>PAR CES MOTIFS, LA CHAMBRE DES ASSURANCES SOCIALES : Statuant A la forme : 1. Déclare recevable le recours interjeté le 10 mars 2014 par Monsieur A______. Au fond : 2. L'admet partiellement. 3. Annule les décisions sur opposition de la caisse cantonale genevoise de compensation, service cantonal des allocations familiales, des 27 mars 2014 et 13 février 2014 ainsi que la décision du 30 août 2013.</w:t>
      </w:r>
    </w:p>
    <w:p>
      <w:r>
        <w:t>A/721/2014 - 13/13 - 4. Dit que l’assuré n’avait plus droit à des allocations familiales de la caisse cantonale genevoise de compensation, service cantonal des allocations familiales, à compter du 1er novembre 2012 ; 5. Dit que le montant de la restitution due par l’assuré est de CHF 6'300.- 6. Renvoie le dossier à la caisse cantonale genevoise de compensation, service cantonal des allocations familiales, pour nouvelle décision sur remise de l'obligation de rembourser, dans le sens des considérants.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