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ATAS/92/2026 vom 6. Februar 2026</w:t>
      </w:r>
    </w:p>
    <w:p>
      <w:r>
        <w:t>GE Cour de justice, 2026-02-06, FR</w:t>
      </w:r>
    </w:p>
    <w:p>
      <w:r>
        <w:rPr>
          <w:b/>
        </w:rPr>
        <w:t xml:space="preserve">Quelle: </w:t>
      </w:r>
      <w:r>
        <w:t>https://mcp.opencaselaw.ch/entscheid/ge_gerichte_ATAS_92_2026</w:t>
      </w:r>
    </w:p>
    <w:p>
      <w:r>
        <w:t>FR: GE_GERICHTE ATAS/92/2026 du 6 février 2026</w:t>
      </w:r>
    </w:p>
    <w:p>
      <w:r>
        <w:t>IT: GE_GERICHTE ATAS/92/2026 del 6 febbraio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en temps utile, le recours est recevable (art. 60 al. 1 LPGA).</w:t>
      </w:r>
    </w:p>
    <w:p>
      <w:r>
        <w:rPr>
          <w:b/>
        </w:rPr>
        <w:t>E. 2</w:t>
      </w:r>
    </w:p>
    <w:p>
      <w:r>
        <w:t>À titre liminaire, il convient de circonscrire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w:t>
      </w:r>
    </w:p>
    <w:p>
      <w:r>
        <w:t>A/2340/2025 - 7/16 -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dans la décision entreprise, l’intimée a confirmé le bien-fondé de sa décision par laquelle elle avait mis un terme à sa responsabilité, motifs pris que l’assuré ne présentait aucune lésion structurelle objectivée, si bien que la guérison avait été obtenue au maximum à six semaines, et que les éléments au dossier ne permettaient pas de retenir qu’il avait été victime d’un accident. La décision mentionne également qu’une demande de remise peut être formée dès son entrée en force. Ainsi, quand bien même la motivation de la décision entreprise est très succincte sur la question de la restitution, force est d’admettre qu’elle porte également sur la restitution des prestations versées pour la période du 10 janvier au 18 février 2025. Les parties le confirment d’ailleurs dans leurs écritures respectives. La chambre de céans précise toutefois ce qui suit. Par décision du 13 février 2025, l’intimée a fixé le montant de l’indemnité journalière à CHF 173.40 (et non CHF 318.65) et réclamé la restitution de CHF 11'765.25 à titre d’indemnités versées en trop pour la période du 28 novembre 2024 au 18 février 2025. Faute d’avoir été contestée par la voie de l’opposition, cette décision est entrée en force. S’ajoute à cela que l’intimée ne réclame pas la restitution du montant de CHF 7'109.40 (soit CHF 173.40 d’indemnité journalière pour 41 jours), correspondant aux prestations versées pour la période du 28 novembre 2024 au 9 janvier 2025. Ce montant ne fait, partant, pas non plus l’objet du présent litige. Il s’ensuit que la décision entreprise ne porte plus que sur la décision de mettre fin aux prestations et sur la demande de restitution du montant, encore litigieux, de CHF 6'936.- (soit CHF 173.40 d’indemnité journalière pour 40 jours), correspondant aux prestations versées pour la période du 10 janvier au 18 février 2025.</w:t>
      </w:r>
    </w:p>
    <w:p>
      <w:r>
        <w:rPr>
          <w:b/>
        </w:rPr>
        <w:t>E. 3</w:t>
      </w:r>
    </w:p>
    <w:p>
      <w:r>
        <w:t>Le litige porte sur le point de savoir si l’intimée était fondée à mettre fin aux prestations du recourant et à revenir sur sa prise en charge du 16 janvier 2025 de l’événement du 27 novembre 2024, en lui réclamant la restitution des prestations versées du 10 janvier au 18 février 2025.</w:t>
      </w:r>
    </w:p>
    <w:p>
      <w:r>
        <w:rPr>
          <w:b/>
        </w:rPr>
        <w:t>E. 3.1</w:t>
      </w:r>
    </w:p>
    <w:p>
      <w:r>
        <w:t>Selon l'art. 6 al. 1 LAA, les prestations d'assurance sont allouées en cas d'accident professionnel, d'accident non professionnel et de maladie professionnelle.</w:t>
      </w:r>
    </w:p>
    <w:p>
      <w:r>
        <w:t>A/2340/2025 - 8/16 -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Selon la jurisprudence du Tribunal fédéral,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 arrêt du Tribunal fédéral 8C_612/2019 du 30 juin 2020 consid. 2.1 et les références citées). Le fait que des symptômes douloureux ne se sont manifestés qu'après la survenance d'un accident ne suffit pas à établir un rapport de causalité naturelle avec cet accident (raisonnement « post hoc, ergo propter hoc » ; ATF 119 V</w:t>
      </w:r>
    </w:p>
    <w:p>
      <w:r>
        <w:t>A/2340/2025 - 9/16 - 335 consid. 2b/bb ; RAMA 1999 n. U 341 p. 408, consid. 3b). Il convient en principe d'en rechercher l'étiologie et de vérifier, sur cette base, l'existence du rapport de causalité avec l'événement assuré.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 arrêt du Tribunal fédéral I 382/00 du 9 octobre 2001, consid. 2b).</w:t>
      </w:r>
    </w:p>
    <w:p>
      <w:r>
        <w:rPr>
          <w:b/>
        </w:rPr>
        <w:t>E. 3.3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droit des assurances sociales, la causalité adéquate en tant que limitation légale de la responsabilité de l'assureur-accidents résultant de la causalité naturelle ne joue pratiquement pas de rôle dans le domaine des troubles accidentels organiques, puisqu'ici la causalité adéquate se recoupe en grande partie avec la causalité naturelle (ATF 140 V 356 consid. 3.2 ; 134 V 109 consid. 2b ; SVR 2020 UV n. 27 p. 110 ; arrêt du Tribunal fédéral 8C_518/2019 du 19 février 2020 consid. 3). En l'absence de lésions traumatiques objectivables d'un point de vue organique, il se justifie d’examiner l'existence d'un lien de causalité adéquate entre les troubles à la santé et l'accident en application de la jurisprudence en cas de troubles psychiques consécutifs à un accident (ATF 115 V 133 et 403).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w:t>
      </w:r>
    </w:p>
    <w:p>
      <w:r>
        <w:t>A/2340/2025 - 10/16 -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 8C_435/2011 du 13 février 2012 consid. 4.2 in SVR 2012 UV n. 23 p. 84 ; 8C_622/2015 du 25 août 2016 consid.3.3).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(ATF 134 V 109 consid. 10.1; 117 V 359 consid. 6a; arrêt du Tribunal fédéral U.428/2006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(arrêts du Tribunal fédéral 8C_510/2008 du 24 avril 2009 consid. 5.2; U.369/01 du 4 mars 2002 consid. 2c).</w:t>
      </w:r>
    </w:p>
    <w:p>
      <w:r>
        <w:rPr>
          <w:b/>
        </w:rPr>
        <w:t>E. 3.4</w:t>
      </w:r>
    </w:p>
    <w:p>
      <w:r>
        <w:t>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U 244/04 du 20 mai 2005 consid. 2). En matière de physiothérapie, le Tribunal fédéral a</w:t>
      </w:r>
    </w:p>
    <w:p>
      <w:r>
        <w:t>A/2340/2025 - 11/16 - récemment précisé que le bénéfice que peut amener la physiothérapie ne fait pas obstacle à la clôture du cas (arrêt du Tribunal fédéral 8C_39/2018 du 11 juillet 2018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3.6</w:t>
      </w:r>
    </w:p>
    <w:p>
      <w:r>
        <w:t>En l’espèce, l’intimée a mis fin aux prestations du recourant, en se fondant sur l’appréciation de son médecin d’assurance, selon lequel la guérison d’une contusion du D3 de la main droite était obtenue au maximum à six semaines de l’événement. Elle a également retenu que les éléments au dossier ne permettaient pas de retenir que le recourant avait été victime d’un accident. Enfin, l’intimée a écarté toute causalité entre l’événement annoncé et les troubles psychiques du recourant. Dans ses écritures devant la chambre de céans, le recourant ne remet pas en cause l’absence de lien de causalité. Il se prévaut uniquement de sa bonne foi et de sa situation financière difficile. Or, comme relevé par l’intimée, de telles questions sont à examiner dans le cadre d’une éventuelle demande de remise, laquelle ne peut, cas échéant, intervenir qu’après l’entrée en force de la décision entreprise. Certes, dans son opposition, le recourant avait fait valoir que les rapports médicaux démontraient qu’il était encore en incapacité de travail en raison de l’événement du 27 novembre 2024. Or, de simples certificats d’arrêt de travail, nullement motivés, ne sont pas suffisants pour remettre en cause les conclusions du médecin d’assurance. Ils ne permettent en tous les cas pas d’établir l'existence d'un lien de causalité entre l’événement du 27 novembre 2024 et son incapacité de travail, étant précisé que le recourant ne conteste pas l’absence de lésion structurelle. C'est dès lors à juste titre que l'intimée s'est fondée sur l’avis du Dr G______ pour retenir, sur le plan somatique, que l'état de santé du recourant, tel qu'il aurait été sans l'accident (statu quo sine), pouvait être considéré comme atteint six semaines après l’événement. Le recourant a produit un rapport médical du 20 mars 2025 de la Dr F______ mentionnant des troubles psychiques. Force est toutefois de relever, comme l’a fait l’intimée, que l’événement s’est déroulé sans circonstances particulières, de sorte qu'il doit être considéré comme un accident de peu de gravité. Dans ce</w:t>
      </w:r>
    </w:p>
    <w:p>
      <w:r>
        <w:t>A/2340/2025 - 12/16 - contexte, le lien de causalité doit également être nié. Le recourant ne le conteste d’ailleurs pas non plus. Il s’ensuit que c’est à juste titre que, faute de lien de causalité entre les troubles actuels du recourant et l’événement du 27 novembre 2024, l’intimée a mis fin aux prestations d’assurance du recourant. Compte tenu de ce résultant, il n’est pas nécessaire d’examiner si, comme le fait valoir la CNA, l’événement précité répond à la notion juridique d’accident.</w:t>
      </w:r>
    </w:p>
    <w:p>
      <w:r>
        <w:rPr>
          <w:b/>
        </w:rPr>
        <w:t>E. 4</w:t>
      </w:r>
    </w:p>
    <w:p>
      <w:r>
        <w:t>Reste à examiner si c’est à juste titre que l’intimée a réclamé la restitution des indemnités journalières perçues depuis le 9 janvier 2025.</w:t>
      </w:r>
    </w:p>
    <w:p>
      <w:r>
        <w:rPr>
          <w:b/>
        </w:rPr>
        <w:t>E. 4.1</w:t>
      </w:r>
    </w:p>
    <w:p>
      <w:r>
        <w:t>L’assureur-accidents a la possibilité de mettre fin avec effet ex nunc et pro futuro à son obligation de prester, qu'il avait initialement reconnue, en prenant en charge les frais de traitement, sans devoir se fonder sur un motif de révocation (reconsidération ou révision procédurale), c'est-à-dire liquider le cas en invoquant le fait qu'aucun événement assuré – selon une appréciation correcte de la situation – n'est jamais survenu. En revanche, la restitution doit, dans une telle hypothèse, s'apprécier selon les règles qui président à la révocation des actes administratifs (ATF 130 V 380).</w:t>
      </w:r>
    </w:p>
    <w:p>
      <w:r>
        <w:rPr>
          <w:b/>
        </w:rPr>
        <w:t>E. 4.2</w:t>
      </w:r>
    </w:p>
    <w:p>
      <w:r>
        <w:t>L'art. 25 al. 1, 1ère phrase, LPGA, auquel renvoie l'art. 1 al. 1 LAA,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138 V 426 consid. 5.2.1). Le droit de demander la restitution s’éteint trois ans après le moment où l’institution d’assurance a eu connaissance du fait, mais au plus tard cinq ans après le versement de la prestation (art. 25 al. 2, 1ère phrase, LPGA). Aux termes de l'art. 53 LPGA, les décisions et les décisions sur opposition formellement passées en force sont soumises à révision si l'assuré ou l'assureur découvre subséquemment des faits nouveaux importants ou trouve de nouveaux moyens de preuve qui ne pouvaient être produits auparavant (al. 1; révision procédurale). L'assureur peut également revenir sur les décisions ou les décisions sur opposition formellement passées en force lorsqu'elles sont manifestement erronées et que leur rectification revêt une importance notable (al. 2; reconsidération). Cela vaut aussi pour les prestations qui ont été accordées sans avoir fait l'objet d'une décision formelle, mais d'une décision implicite prise dans le cadre d'une procédure simplifiée au sens de l'art. 51 al. 1 LPGA (ATF 130 V 319 consid. 5.2).</w:t>
      </w:r>
    </w:p>
    <w:p>
      <w:r>
        <w:rPr>
          <w:b/>
        </w:rPr>
        <w:t>E. 4.3</w:t>
      </w:r>
    </w:p>
    <w:p>
      <w:r>
        <w:t>Cette disposition de la LPGA consacrée à la « révision et reconsidération » s'inscrit dans la thématique de la modification des décisions entrées en force de chose décidée, soit celles qui ne sont plus susceptibles d'un recours ordinaire</w:t>
      </w:r>
    </w:p>
    <w:p>
      <w:r>
        <w:t>A/2340/2025 - 13/16 - (Margit MOSER-SZELESS/Jenny CASTELLA, in Commentaire romand, LPGA, 2025, n. 1 et 25 ss ad art. 53 LPGA et les références citées).</w:t>
      </w:r>
    </w:p>
    <w:p>
      <w:r>
        <w:rPr>
          <w:b/>
        </w:rPr>
        <w:t>E. 4.4</w:t>
      </w:r>
    </w:p>
    <w:p>
      <w:r>
        <w:t>Si la révision procédurale et la reconsidération ont pour point commun de remédier à l'inexactitude initiale d'une décision (« anfängliche tatsächliche Unrichtigkeit » ; Ueli KIESER/Gabriela RIEMER-KAFKA, Tafeln zum schweizerischen Sozialversicherungsrecht, 5e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 10 décembre 2020 consid. 7b ; ATAS/154/2019 du 25 février 2019 consid. 3b ; ATAS/1163/2014 du 12 novembre 2014 consid. 5c).</w:t>
      </w:r>
    </w:p>
    <w:p>
      <w:r>
        <w:rPr>
          <w:b/>
        </w:rPr>
        <w:t>E. 4.4.1</w:t>
      </w:r>
    </w:p>
    <w:p>
      <w:r>
        <w:t>Sont « nouveaux » au sens de l’art. 53 al. 1 LPGA (révision),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 arrêt du Tribunal fédéral 9C_142/2018 du 24 avril 2018 consid. 4.3.1).</w:t>
      </w:r>
    </w:p>
    <w:p>
      <w:r>
        <w:rPr>
          <w:b/>
        </w:rPr>
        <w:t>E. 4.5</w:t>
      </w:r>
    </w:p>
    <w:p>
      <w:r>
        <w:t>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peut l'y contraindre. Cependant, lorsque l'administration entre en matière sur une demande de reconsidération et examine si les conditions d'une reconsidération sont remplies, avant de statuer au fond par une nouvelle décision de refus, celle-ci est susceptible d'être déférée en justice (ATF 133 V</w:t>
      </w:r>
    </w:p>
    <w:p>
      <w:r>
        <w:t>A/2340/2025 - 14/16 - 50 consid. 4 ; ATF 119 V 475 consid. 1b/cc ; arrêt du Tribunal fédéral 8C_495/2008 du 11 mars 2009 consid. 3.2). Le contrôle juridictionnel dans la procédure de recours subséquente se limite alors au point de savoir si les conditions d'une reconsidération (inexactitude manifeste de la décision initiale et importance notable de la rectification) sont réunies (ATF 119 V 475 consid. 1b/cc ; arrêt du Tribunal fédéral 9C_229/2024 du 27 juin 2024 consid. 5).</w:t>
      </w:r>
    </w:p>
    <w:p>
      <w:r>
        <w:rPr>
          <w:b/>
        </w:rPr>
        <w:t>E. 4.6</w:t>
      </w:r>
    </w:p>
    <w:p>
      <w:r>
        <w:t>En l’espèce, dans sa décision du 8 avril 2025, l’intimée a mis un terme à ses prestations avec effet au 9 janvier 2025. Il n’est pas contesté que l’intimée avait initialement reconnu son obligation de prester par courrier du 15 janvier 2025 – cela de manière informelle comme le lui permet l’art. 124 let. a OLAA a contrario – en remboursant les frais de traitement médicaux et en versant des indemnités journalières à compter du 30 novembre 2025. Dans cette mesure, et conformément à la jurisprudence rappelée ci-dessus, l’intimée ne pouvait mettre un terme avec effet rétroactif à l’obligation de prester et demander la restitution des prestations qu’elle estime avoir versé à tort, que si les conditions d'une reconsidération ou d'une révision procédurale étaient remplies. Or, s’agissant d’abord de la reconsidération, l'on ne se trouve pas en présence d'une décision initiale manifestement erronée, dont l'irrégularité aurait été rendue manifeste. En effet, à teneur du dossier, l’intimée s’est fondée sur l’appréciation du Dr C______ du 10 janvier 2025, selon lequel le recourant présentait une « déchirure de la poulie a1 ». Ainsi, à l’époque de la décision initiale d’octroi de prestations du 15 janvier 2025, l’appréciation de l’intimée reposait sur un rapport médical versé au dossier. Il apparaît ainsi que la décision de l’intimée de prendre en charge les suites de l’évènement du 27 novembre 2024 était fondée sur le dossier et qu’elle n’était pas le résultat d’une appréciation manifestement insoutenable ou lacunaire. Le fait que l’intimée soit parvenue à une appréciation différente du diagnostic posé par le Dr C______ à la suite d’une nouvelle analyse du dossier, et après avoir sollicité l’apport des rapports de lecture des examens radiologiques et sonographies réalisés le 27 novembre 2024, ne rend pas pour autant la décision d’octroi du 15 janvier 2025 manifestement erronée. Enfin, et contrairement à ce que semble soutenir l’intimée, la décision d’octroi de prestations du 15 janvier 2025 ne peut être considérée comme manifestement erronée en tant qu’elle qualifie implicitement l’événement du 27 novembre 2024 d’accident. L’intimée s’est en effet fondée sur la description de l’événement contenue dans les rapports médicaux du Dr C______ du 10 janvier 2025 ainsi que sur la déclaration de sinistre du 2 décembre 2024. Sa décision initiale était, partant, fondée sur les pièces au dossier. L’intimée ne pouvait dès lors pas procéder par la voie de la reconsidération. Quant à la révision procédurale, l’intimée ne s’est fondée sur aucun fait nouveau important ou nouveau moyen de preuve qui n’aurait pas pu être produit</w:t>
      </w:r>
    </w:p>
    <w:p>
      <w:r>
        <w:t>A/2340/2025 - 15/16 - auparavant. Bien au contraire, les rapports de lecture des examens radiologiques et sonographies, sur lesquels s’est fondé le Dr G______, puis l’intimée, pour conclure à l’absence de déchirure de la poulie, ont été réalisés le 27 novembre 2024, soit plus d’un mois avant la décision initiale d’octroi de prestations. On ne se trouve, enfin, pas dans la situation dans laquelle ces moyens de preuve n’auraient pas été connus de l’assurance, malgré toute sa diligence. Il ressort en effet expressément du rapport médical du Dr C______ du 10 janvier 2025, sur lequel s’est fondée l’intimée pour octroyer ses prestations, que les examens avaient été réalisés et qu’ils n’avaient, selon le rapport précité, pas révélé de fracture. La chambre de céans relèvera, pour le reste, que le dossier ne contient pas non plus d’élément nouveau quant à la description de l’événement litigieux. La nouvelle appréciation de l’intimée consistant à nier l’existence d’un accident ne repose ainsi sur aucun fait nouveau qui n’aurait pas pu être produit avant la décision d’octroi des prestations litigieuses. Au vu de ce qui précède, force est de constater que les conditions pour mettre fin avec effet rétroactif à l’obligation de prester n'étaient pas remplies. Par conséquent, l'intimée n'était pas en droit de demander la restitution des prestations avec effet au 9 janvier 2025. Le recours sera admis sur ce point.</w:t>
      </w:r>
    </w:p>
    <w:p>
      <w:r>
        <w:rPr>
          <w:b/>
        </w:rPr>
        <w:t>E. 5</w:t>
      </w:r>
    </w:p>
    <w:p>
      <w:r>
        <w:t>10.03]). Pour le surplus, la procédure est gratuite (art. 61 let. fbis LPGA a contrario). ******</w:t>
      </w:r>
    </w:p>
    <w:p>
      <w:r>
        <w:t>A/2340/2025 - 16/16 -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