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ATAS/92/2019 vom 5. Februar 2019</w:t>
      </w:r>
    </w:p>
    <w:p>
      <w:r>
        <w:t>GE Cour de justice, 2019-02-05, FR</w:t>
      </w:r>
    </w:p>
    <w:p>
      <w:r>
        <w:rPr>
          <w:b/>
        </w:rPr>
        <w:t xml:space="preserve">Quelle: </w:t>
      </w:r>
      <w:r>
        <w:t>https://mcp.opencaselaw.ch/entscheid/ge_gerichte_ATAS_92_2019</w:t>
      </w:r>
    </w:p>
    <w:p>
      <w:r>
        <w:t>FR: GE_GERICHTE ATAS/92/2019 du 5 février 2019</w:t>
      </w:r>
    </w:p>
    <w:p>
      <w:r>
        <w:t>IT: GE_GERICHTE ATAS/92/2019 del 5 febbraio 2019</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L’assuré a saisi la chambre de céans d’un recours pour déni de justice, se plaignant de ce que la caisse ne lui avait pas encore remis l’attestation d’affiliation de sa nouvelle employée de maison.</w:t>
      </w:r>
    </w:p>
    <w:p>
      <w:r>
        <w:rPr>
          <w:b/>
        </w:rPr>
        <w:t>E. 3</w:t>
      </w:r>
    </w:p>
    <w:p>
      <w:r>
        <w:t>À teneur de l’art. 56 al. 2 LPGA, un recours peut également être formé auprès du tribunal lorsque l’assureur ne rend pas de décision malgré la demande de l’intéressé (cf. également ATF 130 V 90).</w:t>
      </w:r>
    </w:p>
    <w:p>
      <w:r>
        <w:rPr>
          <w:b/>
        </w:rPr>
        <w:t>E. 4</w:t>
      </w:r>
    </w:p>
    <w:p>
      <w:r>
        <w:t>aCst.; HAEFLIGER / 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w:t>
      </w:r>
    </w:p>
    <w:p>
      <w:r>
        <w:t>A/3004/2018 - 4/6 - il appartient à l'État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Dans un arrêt du 23 avril 2003 (cause I 819/02), le TFA a jugé que, bien que l'on puisse considérer que la limite du tolérable pour un litige de cette nature était proche, un laps de temps de 15 mois entre le recours auprès de la commission de recours AVS/AI, alors compétente, et le recours pour déni de justice au TFA n'apparaissait pas excessif au point de constituer un retard injustifié prohibé et cela en dépit de l'exigence de célérité qui ne peut l'emporter sur la nécessité d'une instruction complète et de l'enjeu de la cause pour l'assuré. Le Tribunal cantonal des assurances sociales, compétent jusqu’en 2011, a en revanche considéré qu’un déni de justice était établi quand l’assureur-maladie ne s’est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et dans celui d'un autre qui avait attendu dix-huit mois après que la cause ait été renvoyée à l’office pour nouvelle décision suite à l’admission partielle de son recours (ATAS/62/2007).</w:t>
      </w:r>
    </w:p>
    <w:p>
      <w:r>
        <w:rPr>
          <w:b/>
        </w:rPr>
        <w:t>E. 5</w:t>
      </w:r>
    </w:p>
    <w:p>
      <w:r>
        <w:t>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ATF 122 IV 111 consid. I/4). L’autorité saisie d’un recours pour retard injustifié ne peut ainsi qu’inviter l’autorité concernée à statuer à bref délai (arrêt du Tribunal fédéral des assurances U 23/05 du 27 mars 2006).</w:t>
      </w:r>
    </w:p>
    <w:p>
      <w:r>
        <w:t>A/3004/2018 - 5/6 -</w:t>
      </w:r>
    </w:p>
    <w:p>
      <w:r>
        <w:rPr>
          <w:b/>
        </w:rPr>
        <w:t>E. 6</w:t>
      </w:r>
    </w:p>
    <w:p>
      <w:r>
        <w:t>En l’occurrence, la caisse a transmis au SPC le 24 septembre 2018 l’attestation demandée par l’assuré, de sorte que le recours est devenu sans objet, faute d’intérêt pratique et actuel au recours.</w:t>
      </w:r>
    </w:p>
    <w:p>
      <w:r>
        <w:t>A/3004/2018 - 6/6 -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