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ATAS/929/2017 vom 18. Oktober 2017</w:t>
      </w:r>
    </w:p>
    <w:p>
      <w:r>
        <w:t>GE Cour de justice, 2017-10-18, FR</w:t>
      </w:r>
    </w:p>
    <w:p>
      <w:r>
        <w:rPr>
          <w:b/>
        </w:rPr>
        <w:t xml:space="preserve">Quelle: </w:t>
      </w:r>
      <w:r>
        <w:t>https://mcp.opencaselaw.ch/entscheid/ge_gerichte_ATAS_929_2017</w:t>
      </w:r>
    </w:p>
    <w:p>
      <w:r>
        <w:t>FR: GE_GERICHTE ATAS/929/2017 du 18 octobre 2017</w:t>
      </w:r>
    </w:p>
    <w:p>
      <w:r>
        <w:t>IT: GE_GERICHTE ATAS/929/2017 del 18 ottobre 2017</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connaît en instance unique des contestations relatives à la prévoyance professionnelle opposant institutions de prévoyance, employeurs et</w:t>
      </w:r>
    </w:p>
    <w:p>
      <w:r>
        <w:t>A/1729/2017 - 4/10 - ayants droit, y compris en cas de divorce, ainsi qu’aux prétentions en responsabilité (art. 331 à 331e de la loi fédérale du 30 mars 1911, complétant le Code civil suisse [CO, Code des obligations - RS 220]; art. 52, 56a, al. 1, art. 73 de la loi fédérale sur la prévoyance professionnelle vieillesse, survivants et invalidité du 25 juin 1982 [LPP - RS 831.40] et art. 142 du Code civil suisse du 10 décembre 1907 [CC - RS 210]).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115 V 224 et 239; 114 V 102 consid. 1b; 113 V 198 consid. 2; 112 Ia 180 consid. 2).</w:t>
      </w:r>
    </w:p>
    <w:p>
      <w:r>
        <w:rPr>
          <w:b/>
        </w:rPr>
        <w:t>E. 3</w:t>
      </w:r>
    </w:p>
    <w:p>
      <w:r>
        <w:t>En l'espèce, la demande respecte la forme prévue à l'art. 89B de la loi sur la procédure administrative du 12 septembre 1985 (LPA - E 5 10), de sorte qu’elle est recevable.</w:t>
      </w:r>
    </w:p>
    <w:p>
      <w:r>
        <w:rPr>
          <w:b/>
        </w:rPr>
        <w:t>E. 4</w:t>
      </w:r>
    </w:p>
    <w:p>
      <w:r>
        <w:t>Le litige porte sur la mainlevée de l’opposition faite au commandement de payer, poursuite _______ portant sur les cotisations échues (CHF 6'368.20 avec intérêts à 5% dès le 30 novembre 2016), les intérêts du 1er janvier au 29 novembre 2016 (CHF 282.45) et une indemnité de gestion (CHF 500.-).</w:t>
      </w:r>
    </w:p>
    <w:p>
      <w:r>
        <w:rPr>
          <w:b/>
        </w:rPr>
        <w:t>E. 5</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w:t>
      </w:r>
    </w:p>
    <w:p>
      <w:r>
        <w:t>A/1729/2017 - 5/10 -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6</w:t>
      </w:r>
    </w:p>
    <w:p>
      <w:r>
        <w:t>La loi fédérale sur la prévoyance professionnelle vieillesse, survivants et invalidité, du 25 juin 1982 (LPP - RS 831.40)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7</w:t>
      </w:r>
    </w:p>
    <w:p>
      <w:r>
        <w:t>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w:t>
      </w:r>
    </w:p>
    <w:p>
      <w:r>
        <w:rPr>
          <w:b/>
        </w:rPr>
        <w:t>E. 8</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phrase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w:t>
      </w:r>
    </w:p>
    <w:p>
      <w:r>
        <w:t>A/1729/2017 - 6/10 -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w:t>
      </w:r>
    </w:p>
    <w:p>
      <w:r>
        <w:rPr>
          <w:b/>
        </w:rPr>
        <w:t>E. 9</w:t>
      </w:r>
    </w:p>
    <w:p>
      <w:r>
        <w:t>Aux termes des ch. 5.1, 5.2 et 5.3 de la Convention d'affiliation liant les parties, les cotisations sont exigibles en début de chaque année d'assurance (1er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Pour la fin de l’année civile, la Fondation établit un relevé du compte "encaissement de primes". Le solde indiqué sur ce relevé sera considéré comme approuvé dans la mesure où l’entreprise affiliée ne le conteste pas par écrit dans un délai de 4 semaines après réception du relevé (ch. 5.4 al. 4 de la convention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 (CHF 500.- pour la réquisition de continuer la poursuite).</w:t>
      </w:r>
    </w:p>
    <w:p>
      <w:r>
        <w:rPr>
          <w:b/>
        </w:rPr>
        <w:t>E. 10</w:t>
      </w:r>
    </w:p>
    <w:p>
      <w:r>
        <w:t>Aux termes de l'art. 41 al. 2 LPP, les actions en recouvrement de créances se prescrivent par cinq ans quand elles portent sur des cotisations ou des prestations périodiques, par 10 ans dans les autres cas. Les articles 129 à 142 CO sont applicables. Le versement des cotisations à l’institution de prévoyance tombe sous le délai de prescription de cinq ans. Le délai de prescription commence à courir uniquement à</w:t>
      </w:r>
    </w:p>
    <w:p>
      <w:r>
        <w:t>A/1729/2017 - 7/10 -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nos 12 et 15). En l’espèce, une partie de la créance de la demanderesse est née au plus tôt en septembre 2012, de sorte que la demande déposée le 10 mai 2017 l’a été dans le délai de prescription de cinq ans.</w:t>
      </w:r>
    </w:p>
    <w:p>
      <w:r>
        <w:rPr>
          <w:b/>
        </w:rPr>
        <w:t>E. 11</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12</w:t>
      </w:r>
    </w:p>
    <w:p>
      <w:r>
        <w:t>En l’espèce, en sa qualité d’employeur occupant des personnes salariées, la défenderesse était affiliée à une caisse de prévoyance professionnelle et devait par conséquence s’acquitter des primes convenues avec la demanderesse. Il apparaît, au vu de l'ensemble des pièces versées à la procédure à l'appui de la demande et de l'absence de contestation des décomptes par la défenderesse, que cette dernière est débitrice envers la demanderesse d’un montant de CHF 6'368.20 correspondant aux cotisations de l'employé demeurées impayées au 30 novembre 2016, plus intérêt à 5% dès le 30 novembre 2016, plus CHF 282.45 d'intérêts du 1er janvier au 29 novembre 2016 et CHF 500.- de frais de gestion.</w:t>
      </w:r>
    </w:p>
    <w:p>
      <w:r>
        <w:t>A/1729/2017 - 8/10 - L’administrateur de la société n’a pas réagi aux sommations de la demanderesse, n’a pas motivé son opposition au commandement de payer et n'a pas répondu à la demande formée devant la chambre de céans malgré les deux délais impartis pour ce faire.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au 29 novembre 2016 réclamés par la demanderesse et les intérêts de 5% sont également dus par la défenderesse (cf. not. art. 66 al. 2 LPP et 104 al. 1 CO et ch. 5.4 de la convention d'affiliation). Les frais de gestion requis à hauteur de CHF 500.- sont prévus au ch. 2.1 du règlement pour frais de gestion. La demande étant fondée, la défenderesse sera condamnée à payer les montants requis et la mainlevée définitive de l’opposition formée dans la poursuite n°_______ sera prononcée.</w:t>
      </w:r>
    </w:p>
    <w:p>
      <w:r>
        <w:rPr>
          <w:b/>
        </w:rPr>
        <w:t>E. 13</w:t>
      </w:r>
    </w:p>
    <w:p>
      <w:r>
        <w:t>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w:t>
      </w:r>
    </w:p>
    <w:p>
      <w:r>
        <w:t>A/1729/2017 - 9/10 -</w:t>
      </w:r>
    </w:p>
    <w:p>
      <w:r>
        <w:t>En l’espèce, la défenderesse n’a pas contesté le décompte des primes et n'a pas réagi à la sommation, contraignant ainsi la demanderesse à agir par voie de poursuite, puis par voie de justice, à la suite de son opposition. Dans le cadre de la présente procédure, elle ne s’est pas manifestée dans les deux délais impartis par la chambre de céans. Son attitude témoigne ainsi d'une légèreté, qui justifie de la condamner au paiement d’un émolument, fixé à CHF 200.-, et d'une indemnité de CHF 500.- à la demanderesse, à titre de participation à ses dépens.</w:t>
      </w:r>
    </w:p>
    <w:p>
      <w:r>
        <w:t>A/1729/2017 - 10/10 -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