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ATAS/929/2016 vom 10. November 2016</w:t>
      </w:r>
    </w:p>
    <w:p>
      <w:r>
        <w:t>GE Cour de justice, 2016-11-10, FR</w:t>
      </w:r>
    </w:p>
    <w:p>
      <w:r>
        <w:rPr>
          <w:b/>
        </w:rPr>
        <w:t xml:space="preserve">Quelle: </w:t>
      </w:r>
      <w:r>
        <w:t>https://mcp.opencaselaw.ch/entscheid/ge_gerichte_ATAS_929_2016</w:t>
      </w:r>
    </w:p>
    <w:p>
      <w:r>
        <w:t>FR: GE_GERICHTE ATAS/929/2016 du 10 novembre 2016</w:t>
      </w:r>
    </w:p>
    <w:p>
      <w:r>
        <w:t>IT: GE_GERICHTE ATAS/929/2016 del 10 novembre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Selon l'art. 61 let b LPGA, repris à l'art. 89B al. 3 LPA,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disposition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(arrêt 8C_805/2012 du 27 mars 2013 consid. 7 et les références). Il suffit que la motivation du recours laisse apparaître les raisons pour lesquelles les faits constatés ou les dispositions appliquées par l'autorité inférieure sont contestés (arrêt du Tribunal fédéral 9C_761/2015 du 3 mai 2016). Ainsi,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 2C_986/2013 du 15 septembre 2014 consid. 2.2, citant les arrêts 4A_688/2011 consid. 2 non publié in ATF 138 III 425 et 4A_375/2012 consid. 1.2 non publié in ATF 139 III 24).</w:t>
      </w:r>
    </w:p>
    <w:p>
      <w:r>
        <w:t>A/4310/2015 - 11/16 - L’intéressé doit néanmoins manifester clairement et par écrit sa volonté d’obtenir la modification de la décision attaquée ; à défaut, l’écriture qu’il produit ne peut être considérée comme une déclaration de recours (ATF 116 V 356 consid. 2b et les références ; arrêt du Tribunal fédéral des assurances I 501/02 du 28 janvier 2003 consid. 2.2). En particulier, il n’appartient pas à une autorité cantonale de recours de faire des recherches dans les pièces du dossier pour déterminer, notamment, quel est l’objet du litige et de quoi pourrait se plaindre l’intéressé (ATF 123 V 336 consid. 1a ; cf. arrêt du Tribunal fédéral des assurances U 292/02 du 17 décembre 2002 consid. 4). b. En l'espèce, il ressortait de l'écriture du 10 décembre 2015 que l’assuré contestait la décision de refus d'octroi de prestations du 12 novembre 2015, dans la mesure où il alléguait que son incapacité de travail s'élevait à 50%, quelle que soit l'activité envisagée, alors que l'intimé avait retenu une capacité de travail de 100% dans une activité adaptée. Dès lors, on pouvait aisément comprendre les motifs du recours, à savoir la détermination erronée du degré d'invalidité. En contestant la décision litigieuse, le recourant entendait clairement demander l'annulation de ladite décision et requérait l'octroi d'une prestation de l'AI. L'on pouvait dès lors aisément déduire les conclusions, qui ressortaient implicitement de l'acte de recours. Interjeté dans la forme et le délai prévus par la loi, le recours du 10 décembre 2015, complété le 8 février 2016, contre la décision de l'intimé du 12 novembre 2015, est par conséquent recevable, en vertu des art. 56 ss LPGA.</w:t>
      </w:r>
    </w:p>
    <w:p>
      <w:r>
        <w:rPr>
          <w:b/>
        </w:rPr>
        <w:t>E. 3</w:t>
      </w:r>
    </w:p>
    <w:p>
      <w:r>
        <w:t>Le litige porte sur le droit éventuel du recourant à une rente d’invalidité.</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trois-quarts de rente s'il est invalide à 60% au moins, à une demi- 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A/4310/2015 - 12/16 - Il y a lieu de préciser que selon la jurisprudence, la notion d'invalidité, au sens des droits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Selon l'art. 87 du règlement du 17 janvier 1961 sur l'assurance-invalidité du 17 janvier 1961 (RAI – RS 831.201), lorsqu'une demande de révision est déposée, celle-ci doit établir de façon plausible que l'invalidité de l’assuré s'est modifiée de manière à influencer ses droits (al. 2). Lorsque la rente a été refusée parce que le degré d'invalidité était insuffisant, la nouvelle demande ne peut être examinée que si les conditions prévues à l'al. 2 sont remplies (al. 3). Ainsi, en cas de nouvelle demande de prestations ou de procédure de révision, le changement de circonstances ne peut être qualifié d'important que s'il influence le degré d'invalidité (ATF 133 V 108 consid. 5; arrêt du Tribunal fédéral 9C_809/2009 du 15 mars 2010 consid. 3). Les conditions d'entrée en matière prévue par l'art. 87 al. 2 et 3 RAI ont pour but de restreindre la possibilité de présenter de manière répétée des demandes de rente identiques (ATF 133 V 108 consid. 5.3.1).</w:t>
      </w:r>
    </w:p>
    <w:p>
      <w:r>
        <w:rPr>
          <w:b/>
        </w:rPr>
        <w:t>E. 6</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Lorsque l'administration entre en matière sur la nouvelle demande, elle doit examiner l'affaire au fond et vérifier que la modification de l'invalidité ou de l'impotence rendue plausible par l'assuré est réellement intervenue. Si elle arrive à la conclusion que l'invalidité ou l'impotence ne s'est pas modifiée depuis sa précédente décision entrée en force, elle rejette la demande. Dans le cas contraire, elle doit examiner si la modification constatée suffit à fonder une invalidité ou une impotence donnait droit à prestations et statuer en conséquence. En cas de recours, le même devoir de contrôle quant au fond incombe au juge (ATF 117 V 198 consid. 3a).</w:t>
      </w:r>
    </w:p>
    <w:p>
      <w:r>
        <w:rPr>
          <w:b/>
        </w:rPr>
        <w:t>E. 7</w:t>
      </w:r>
    </w:p>
    <w:p>
      <w:r>
        <w:t>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En particulier, si des rapports médicaux sont contradictoires, le juge ne peut trancher l'affaire sans apprécier l'ensemble des preuves et sans indiquer les raisons</w:t>
      </w:r>
    </w:p>
    <w:p>
      <w:r>
        <w:t>A/4310/2015 - 13/16 - pour lesquels il se fond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(arrêt TF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w:t>
      </w:r>
    </w:p>
    <w:p>
      <w:r>
        <w:rPr>
          <w:b/>
        </w:rPr>
        <w:t>E. 8</w:t>
      </w:r>
    </w:p>
    <w:p>
      <w:r>
        <w:t>En l’occurrence, il convient d'examiner si la situation médicale s'est péjorée depuis le refus de prestation formulé le 31 août 2012, de manière à influencer la capacité de travail de l’assuré. Pour ce faire, il convient de comparer les faits tels qu'ils se présentaient lors de la décision du 31 août 2012 à ceux prévalant au moment de la décision querellée, rendue le 26 janvier 2015. En août 2012, l’intimé avait rejeté la demande de prestations de l’assuré au motif que si celui-ci était certes dans l’incapacité totale d'exercer son activité habituelle, il avait recouvré, dès décembre 2008, une pleine capacité de travail dans une activité adaptée. Ces conclusions se basaient sur l’expertise réalisée le 17 janvier 2011 par le Dr S______, lequel avait admis l’existence de limitations fonctionnelles au niveau du rachis lombaire : éviter les positions de porte-à-faux, les mouvements répétés en flexion-extension, la position statique debout plus de 30 minutes, le port</w:t>
      </w:r>
    </w:p>
    <w:p>
      <w:r>
        <w:t>A/4310/2015 - 14/16 - répété de charges de plus de 10 kg ou occasionnel de plus de 15 kg et la position assise plus d'une heure. En définitive, l’expert avait admis une totale incapacité à exercer la profession de maçon en raison de lombosciatalgies gauches dans le contexte d'une hernie discale. En revanche, une activité professionnelle respectant les limitations fonctionnelles décrites était exigible à plein temps depuis la stabilisation du cas, soit depuis août 2009. À l’époque, les différents rapports médicaux versés au dossier faisaient état d’une dessiccation au niveau de l'espace inter-somatique L4-L5 accompagnée d'une protrusion discale sans véritable conflit disco-radiculaire L4-L5, de discrètes lésions dégénératives des articulations interapophysaires postérieures, d’une dystrophie osseuse modérée, d’une sclérose de surcharge des facettes articulaires postérieures, d'une fibrillation auriculaire, de quelques difficultés attentionnelles ainsi que d'un léger dysfonctionnement exécutif, d’un accident vasculaire cérébral (AVC) ischémique bi-occipital régressif survenu en mai 2009 (tout en précisant que, d’un point de vue strictement cardio-vasculaire, l’activité habituelle restait malgré tout exigible à plein temps et sans diminution de rendement) et d’un possible épisode dépressif concomitant. À l’époque déjà, le Dr M______ avait exprimé l’avis qu’il était peu probable que l’assuré puisse dépasser un taux de 50% dans une activité adaptée mais l’expert s’était écarté de cette opinion. À l’appui de sa nouvelle demande, le recourant a notamment produit des rapports du Dr V______, des 3 et 17 septembre 2014, 27 août 2015 et 1er février 2016, faisant état de l’AVC survenu en 2009, d'une hypertension artérielle, d'une hernie discale L4-L5 et d'une fenestration interlaminaire L4-L5 intervenue en 2014. Le médecin précise que, nonobstant cette intervention, son patient souffre toujours de douleurs lombaires séquellaires. Il certifie que l'assuré ne peut plus pratiquer son ancien métier et estime que sa capacité de travail, même dans une activité adaptée, reste limitée à 50%, en raison de la fatigabilité liée aux douleurs dorsales mais également d'un point de vue neurologique et psychologique. L'activité adaptée doit, selon lui, consister en une activité légère, sans port de charges lourdes, alternant les positions et évitant les agenouillements. Le Dr U______ évoque quant à lui un syndrome vertébral avec contracture musculaire gauche et limitation de la mobilité lombaire mais une force conservée aux membres inférieurs. Une nouvelle IRM, réalisée en octobre 2012, montre une sténose foraminale L4-L5 gauche pouvant comprimer l’émergence de la racine L5 gauche. Ce médecin, en février 2013, a précisé que si le patient restait très algique à l’examen clinique, il n’y avait ni déficit notoire, ni diminution de la sensibilité sur le pied gauche ; un ENMG n’avait montré aucune lésion radiculaire. Les HUG ont conclu quant à eux à un syndrome radiculaire L5 gauche, discrètement déficitaire sur hernie discale L4-L5 gauche avec conflit radiculaire L5 gauche en précisant que les symptômes étaient présents depuis 2008.</w:t>
      </w:r>
    </w:p>
    <w:p>
      <w:r>
        <w:t>A/4310/2015 - 15/16 - Force est de constater que la situation médicale telle qu’elle se présentait au moment de la nouvelle décision de refus de l’intimé est semblable à ce qu’elle était au moment du premier refus de prestations. Il n’est en particulier fait mention d’aucun nouveau diagnostic et, surtout, d’aucune nouvelle limitation fonctionnelle. Le Dr V______ justifie l'incapacité de travail de son patient par son état neurologique et psychologique. Or, du point de vue neurologique, aucune nouvelle atteinte n’a été mise en évidence. Quant au plan psychique, force est de constater que les allégations du médecin traitant - au demeurant non spécialisé en la matière - ne sont ni argumentées ni étayées. Qui plus est, il n’y a eu ni prise en charge psychiatrique, ni hospitalisation dans un établissement spécialisé, ni même traitement médicamenteux sur ce plan. Le Dr V______, en retenant une capacité de travail de 50% dans une activité adaptée, ne fait donc que substituer sa propre appréciation à celle du Dr S______, laquelle a donné lieu à une décision désormais entrée en force. À cet égard, on rappellera qu'une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consid. 4.1). En l’espèce, l'expert avait déjà conclu en 2011 à la possibilité d’exercer une activité respectant les limitations fonctionnelles. En définitive, la situation demeure donc inchangée, les lombosciatalgies gauches chroniques étant déjà connues au moment du refus initial de prestations. À l'heure de la seconde demande, aucune atteinte physique nouvelle n'est évoquée. La situation médicale du recourant ne s'est dès lors pas péjorée de manière à influencer sa capacité de travail. Quant aux troubles psychiques rapidement évoqués par le médecin traitant, tout porte à croire qu’ils sont insuffisamment marqués pour avoir des conséquences sur la capacité de travail de l’intéressé. Partant, c'est à juste titre que l'intimé a rejeté la nouvelle demande de prestations formulée par le recourant. Il s’ensuit que le recours, mal fondé, est rejeté.</w:t>
      </w:r>
    </w:p>
    <w:p>
      <w:r>
        <w:rPr>
          <w:b/>
        </w:rPr>
        <w:t>E. 9</w:t>
      </w:r>
    </w:p>
    <w:p>
      <w:r>
        <w:t>Le recourant, qui succombe, n'a pas droit à des dépens (art. 61 let. g LPGA). En dérogation à l'art. 61 let. a LPGA, la procédure en matière de contestations portant sur l'octroi ou le refus de prestations de l'AI n'est pas gratuite. Le montant des frais est fixé en fonction de la charge liée à la procédure, indépendamment de la valeur litigieuse, et doit se situer entre CHF 200.- et CHF 1'000.- (art. 69 al. 1bis LAI). Au vu du sort du litige, l'émolument, fixé à CHF 200.-, est mis à la charge du recourant.</w:t>
      </w:r>
    </w:p>
    <w:p>
      <w:r>
        <w:t>A/4310/2015 - 16/16 -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