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ATAS/929/2015 vom 3. Dezember 2015</w:t>
      </w:r>
    </w:p>
    <w:p>
      <w:r>
        <w:t>GE Cour de justice, 2015-12-03, FR</w:t>
      </w:r>
    </w:p>
    <w:p>
      <w:r>
        <w:rPr>
          <w:b/>
        </w:rPr>
        <w:t xml:space="preserve">Quelle: </w:t>
      </w:r>
      <w:r>
        <w:t>https://mcp.opencaselaw.ch/entscheid/ge_gerichte_ATAS_929_2015</w:t>
      </w:r>
    </w:p>
    <w:p>
      <w:r>
        <w:t>FR: GE_GERICHTE ATAS/929/2015 du 3 décembre 2015</w:t>
      </w:r>
    </w:p>
    <w:p>
      <w:r>
        <w:t>IT: GE_GERICHTE ATAS/929/2015 del 3 dicembre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La compétence de la chambre de céans pour juger du cas d’espèce est ainsi établie.</w:t>
      </w:r>
    </w:p>
    <w:p>
      <w:r>
        <w:rPr>
          <w:b/>
        </w:rPr>
        <w:t>E. 3</w:t>
      </w:r>
    </w:p>
    <w:p>
      <w:r>
        <w:t>Interjeté dans les forme et délai prévus par la loi, le recours est recevable (art. 56 al. 1 et 60 al. 1 LPGA).</w:t>
      </w:r>
    </w:p>
    <w:p>
      <w:r>
        <w:rPr>
          <w:b/>
        </w:rPr>
        <w:t>E. 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w:t>
      </w:r>
    </w:p>
    <w:p>
      <w:r>
        <w:t>A/717/2015 - 9/16 -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a. L’objet du litige porte sur la question de la prise en charge par l'assurance obligatoire des soins de traitements dentaires consistant dans une solution prothétique fixe reposant sur des implants. Dans la mesure où le recourant reconnaît n’avoir transmis à l’intimé le devis du 8 décembre 2014, de CHF 11'224.95, qu’au moment du dépôt du recours (cf. mémoire de recours p. 5, 4ème paragraphe in fine), le litige devrait en principe porter sur la prise en charge de la solution prévue dans le précédent devis du 3 avril 2014, de CHF 12'568.75. En effet, l’intimée était seulement en possession de celui-ci lorsqu’il a pris la décision formelle du 3 novembre 2014 et la décision sur opposition du 3 février 2015. Toutefois, étant donné que le recourant ne prend de conclusions qu’en fonction du devis du 8 décembre 2014, qu’il qualifie de « définitif », et que l’intimée a eu l’occasion de s’exprimer à ce sujet – étroitement lié au devis initial – dans ses observations du 6 octobre 2015, il se justifie, à titre exceptionnel, d’entrer en matière sur la question de la prise en charge des traitements dentaires prévus par le devis du 8 décembre 2014. En revanche, le troisième devis révisé du 2 novembre 2015, lequel ne comprend plus le traitement de la dent n° 16, mais par contre ajoute un traitement de la dent n° 43, ne fait pas l’objet du litige.</w:t>
      </w:r>
    </w:p>
    <w:p>
      <w:r>
        <w:rPr>
          <w:b/>
        </w:rPr>
        <w:t>E. 5</w:t>
      </w:r>
    </w:p>
    <w:p>
      <w:r>
        <w:t>a. Selon l'art. 25 LAMal, l'assurance obligatoire des soins prend en charge les coûts des prestations qui servent à diagnostiquer ou à traiter une maladie et ses séquelles (al. 1).</w:t>
      </w:r>
    </w:p>
    <w:p>
      <w:r>
        <w:t>b. Conformément à l’art. 34 al. 1 LAMal, les assureurs ne peuvent pas prendre en charge, au titre de l’assurance obligatoire des soins, d’autres coûts que ceux des prestations prévues aux art. 25 à 33. S’agissant plus particulièrement des soins dentaires, l’art. 31 al. 1 LAMal prévoit les conditions auxquelles est soumise leur prise en charge par l’assurance obligatoire des soins : ils doivent être occasionnés par une maladie grave et non évitable du système de la mastication (let. a), par une autre maladie grave ou ses séquelles (let. b), ou alors doivent être nécessaires pour traiter une maladie grave et ses séquelles (let. c).</w:t>
      </w:r>
    </w:p>
    <w:p>
      <w:r>
        <w:t>c. En application de l’art. 33 al. 2 et 5 LAMal, en corrélation avec l’art. 33 let. d de l’ordonnance sur l’assurance-maladie du 27 juin 1995 (OAMal – RS 832.102), le Département fédéral de l’intérieur a édicté les art. 17 à 19a de l’ordonnance sur les prestations dans l’assurance obligatoire des soins en cas de maladie du 20</w:t>
      </w:r>
    </w:p>
    <w:p>
      <w:r>
        <w:t>A/717/2015 - 10/16 - septembre 1995 (OPAS – RS 832.112.31), qui se rapportent à chacune des éventualités prévues par l’art. 31 al. 1 LAMal. Ces dispositions concrétisent ainsi les cas dans lesquels les soins dentaires prodigués relèvent des prestations obligatoires. L'art. 17 OPAS, édicté en exécution de l'art. 31 al. 1 let. a LAMal, renferme une liste des maladies graves et non évitables du système de la mastication. L'art. 18 OPAS – qui concrétise l'art. 31 al. 1 let. b LAMal – énumère les autres maladies susceptibles d'occasionner des soins dentaires; il s'agit de maladies qui ne sont pas, comme telles, des maladies du système de la mastication, mais qui ont des effets nuisibles sur ce dernier (al. 1). Toutefois, les prestations ne sont prises en charge que si l’assureur a donné préalablement une garantie spéciale et avec l’autorisation expresse du médecin-conseil (al. 2). Font notamment partie des « autres maladies » les maladies psychiques graves avec une atteinte consécutive grave de la fonction de mastication (art. 18 al. 1 let. c ch. 7 OPAS) Bien que les art. 31 al. 1 let. b LAMal et 18 OPAS ne le mentionnent pas expressément, ces dispositions n’ouvrent le droit à des prestations de l’assurance obligatoire des soins qu’en présence de maladies évitables du système de mastication, à l’instar de ce que prévoient les art. 31 al. 1 let. a LAMal et 17 OPAS (ATF 128 V 70 consid. 4a). Selon la jurisprudence, est « évitable » toute maladie du système de mastication, notamment la carie et la parodontite, qui peuvent être évitées par une bonne hygiène buccale et dentaire (ATF 125 V 19 consid. 3a ; RAMA 2002 p. 109 consid. 3b ; SVR 1999 KV 11 p. 25 consid. 1). Selon l'art. 19 OPAS, édicté en exécution de l'art. 31 al. 1 let. c LAMal, l'assurance prend en charge les soins dentaires nécessaires aux traitements de certains foyers infectieux bien définis. Enfin, l'art. 19a OPAS concerne les traitements dentaires occasionnés par les infirmités congénitales. La liste des affections de nature à nécessiter des soins dentaires à la charge de l'assurance selon les art. 17 à 19 OPAS est exhaustive (ATF 127 V 391 consid. 1; 124 V 193 consid. 4 et 347 consid. 3a). d. Aux termes de l’art. 32 al. 1 LAMal, les prestations mentionnées aux art. 25 à 31 doivent être efficaces, appropriées et économiques. L’efficacité doit être démontrée selon des méthodes scientifiques. L’art. 56 al. 1 LAMal dispose que le fournisseur de prestations doit limiter celles-ci à la mesure exigée par l’intérêt de l’assuré et le but du traitement. L’alinéa 2 de cette disposition précise que la rémunération des prestations qui dépassent cette limite peut être refusée. Selon la jurisprudence du Tribunal fédéral, une prestation est efficace lorsqu'on peut objectivement en attendre le résultat thérapeutique visé par le traitement de la maladie, à savoir la suppression la plus complète possible de l'atteinte à la santé somatique ou psychique (cf. notamment arrêt du Tribunal fédéral 9C_912/2010 du</w:t>
      </w:r>
    </w:p>
    <w:p>
      <w:r>
        <w:t>A/717/2015 - 11/16 - 31 octobre 2011 consid. 3.2 ; ATF 128 V 159 consid. 5c/aa; arrêt du Tribunal fédéral des assurances K 151/99 du 7 juillet 2000 consid. 2b, in RAMA 2000 n° KV 132 p. 279). Le caractère approprié/adéquat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La réponse à cette question se confond normalement avec celle de l'indication médicale; lorsque l'indication médicale est clairement établie, il convient d'admettre que l'exigence du caractère approprié de la mesure est réalisée (ATF 139 V 135 consid. 4.4.2; ATF 125 V 95 consid. 4a ).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RAMA 1998 p. 1).</w:t>
      </w:r>
    </w:p>
    <w:p>
      <w:r>
        <w:rPr>
          <w:b/>
        </w:rPr>
        <w:t>E. 6</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A/717/2015 - 12/16 -</w:t>
      </w:r>
    </w:p>
    <w:p>
      <w:r>
        <w:rPr>
          <w:b/>
        </w:rPr>
        <w:t>E. 7</w:t>
      </w:r>
    </w:p>
    <w:p>
      <w:r>
        <w:t>Sans remettre en cause le principe de la libre appréciation des preuves, le Tribunal fédéral des assurances a posé des lignes directrices en ce qui concerne la manière d'apprécier certains types d'expertises ou de rapports médicaux (ATF 125 V 351 consid. 3b). 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8</w:t>
      </w:r>
    </w:p>
    <w:p>
      <w:r>
        <w:t>Dans l’arrêt ATAS/1487/2008, le TCAS a d’ores et déjà admis que le recourant souffre de plusieurs maladies psychiques graves, nécessitant la prise de</w:t>
      </w:r>
    </w:p>
    <w:p>
      <w:r>
        <w:t>A/717/2015 - 13/16 - médicaments psychotropes et que les lésions dentaires sont consécutives à cette médication. Il a également admis qu’en termes d’hygiène bucco-dentaire, le recourant a fait tout ce qui était en son pouvoir pour éviter une dégradation de ses dents, de sorte que les lésions dentaires qui ont entraîné une atteinte de la fonction masticatoire n’étaient pas évitables. Aussi, les conditions de l’art. 18 al. 1 let. c ch. 7 OPAS étaient réalisées. Tel doit également être admis en l'espèce, la situation médicale du recourant n'ayant pas changé. Ainsi, bien que le Dr E______ paraisse mettre en doute le caractère évitable de l’atteinte au système de mastication, en relevant le mauvais état de la dentition, il sied de reconnaître que les troubles psychiques du recourant et les effets néfastes de la médication psychotrope sur la dentition n’auraient pas permis d’éviter une nouvelle dégradation de la dentition. En effet, le recourant continue d’être régulièrement suivi par une hygiéniste dentaire (pièce 36 recourant) et il n’existe pas de raison objective de remettre en cause le fait que l’épouse du recourant – qui avait travaillé durant de nombreuses années dans le domaine de l’orthodontie – observe de très près son hygiène buccale à domicile (cf. ATAS/1487/2008 p. 15). Du reste, l’intimé ne conteste pas en définitive le caractère inévitable de l’atteinte à la dentition. Sans quoi, il ne proposerait pas de prendre en charge la confection et l’adaptation d’une prothèse amovible à titre alternatif.</w:t>
      </w:r>
    </w:p>
    <w:p>
      <w:r>
        <w:rPr>
          <w:b/>
        </w:rPr>
        <w:t>E. 9</w:t>
      </w:r>
    </w:p>
    <w:p>
      <w:r>
        <w:t>S'agissant du caractère adéquat du traitement, le TCAS a jugé en 2008 que la pose d’une prothèse amovible était contre-indiquée et dangereuse, étant donné que le recourant avait failli s’étouffer avec une prothèse lors d’une crise d’épilepsie. A cela s'ajoutait que la prise de certains médicaments comportait un risque de sécheresse buccale et donc de diminution du maintien d’une prothèse totale. Ainsi, seul le traitement implantaire était efficace et adéquat. Dans ces conditions, il n’y avait pas lieu d’examiner plus loin la question de l’économicité du traitement. Cette solution a été confirmée par le Tribunal fédéral (arrêt 9C_97/2009 du 14 octobre 2009 consid. 4.3).</w:t>
      </w:r>
    </w:p>
    <w:p>
      <w:r>
        <w:t>Dans le cadre de la demande de prise en charge du devis du 8 décembre 2014, les parties s’opposent sur l’adéquation des deux variantes de traitement. Le recourant fait valoir en substance que la pose d’implants fixes sur le maxillaire constitue la seule solution efficace et adéquate. Pour sa part, l’intimée conteste à la fois l’efficacité, l’adéquation et l’économicité d’une solution prothétique fixe et soutient que le risque d’inhalation/absorption de la prothèse proposée en 2014 serait négligeable.</w:t>
      </w:r>
    </w:p>
    <w:p>
      <w:r>
        <w:t>Dans ses avis des 30 octobre 2014, 18 janvier, 30 avril 2015 et 20 septembre 2014, le Dr E______ retient pour l’essentiel que si les prothèses amovibles partielles unilatérales sont effectivement à proscrire en raison d’un risque plus élevé d’absorption, les prothèses conçues pour les patients présentant un édentement bilatéral – ce qui est le cas du recourant – constituent un traitement acceptable. Ces prothèses sont en effet munies de selles pour remplacer les dents manquantes et</w:t>
      </w:r>
    </w:p>
    <w:p>
      <w:r>
        <w:t>A/717/2015 - 14/16 - d’une connexion principale – faux palais – qui relie ces selles. Les dimensions de ces parties font qu’il est difficile d’avaler une telle prothèse bilatérale. Comme celle-ci est partielle, la salive a certainement moins d’importance pour son maintien que s’il s’agit d’une prothèse totale. Même si dans les deux cas, en 2004 comme en 2014, l’on est en présence d’un édentement bilatéral postérieur, le design d’une prothèse amovible supérieure en 2014 est relativement plus volumineux que ne l’était celui de la prothèse amovible inférieure de 2004, dont la connexion principale correspondait à une barre linguale métallique de plus petite taille qu’une plaque palatine.. Certes, le Dr E______ n’a pas examiné personnellement le recourant. Il s’est toutefois fondé notamment sur les rapports des Drs B______ et D______ – établis à la suite d’un examen personnel – et en particulier sur des radiographies récentes révélant l’état de la structure osseuse du maxillaire et de la dentition du recourant (pièce 8 p. 2 ss intimé). Au regard de ces éléments, il apparaît que les points litigieux importants ont fait l’objet d’une étude fouillée, que la description des interférences médicales est claire et que les conclusions du Dr E______ sont bien motivées. Sa conclusion que le recourant ne risque pas de s'étouffer avec une prothèse bilatérale de la nouvelle génération, est également convaincante. En effet, dès lors que la connexion consiste en une plaque palatine, il ne paraît pas concevable, au degré de la vraisemblance prépondérante, qu'une telle prothèse puisse glisser dans la gorge et s'y coincer, avec un risque d'étouffement. Le recourant soutient pour sa part que le Dr E______ confond « s’étouffer » et « avaler » tout en se référant à tort à un article scientifique dont les conclusions ne laisseraient planer aucun doute sur les risques d’ingestion d’une prothèse. Par ailleurs, ce médecin omettrait d’apprécier le cas sous l’angle de l’épilepsie du type « Grand mal / tonico-clonique » avec perte de connaissance. Au lieu de quoi, il préférerait faire état d’une psychose, diagnostic n’ayant jamais été retenu par les spécialistes et les experts en psychiatrie et neuropsychiatrie qui l’ont examiné Ces critiques ne remettent pas en cause les conclusions du Dr E______. La publication à laquelle le recourant se réfère traite spécifiquement des risques d’ingestion de prothèses unilatérales (pièce 19 p. 4 ss intimé) – et non bilatérales, seules envisageables dans le cas concret. Par ailleurs, même si l’on ignore sur quel(s) rapport(s) le Dr E______ se fonde pour faire état d’une « psychose », il apparaît que la psychose est invoquée à titre exemplatif parmi les autres problèmes médicaux graves du recourant. Il est vrai que le Dr E______ ne se réfère pas expressément aux crises d’épilepsie du recourant, ni au rapport de la Dresse G______ du 8 novembre 2004. Il n’en demeure pas moins qu’il se penche sur les conséquences de la crise d’épilepsie de novembre 2004 en insistant sur la réduction très significative des risques d’ingestion/d’inhalation de la nouvelle prothèse par rapport à l’ancienne à la lumière des spécificités techniques déjà évoqués plus haut. L’attestation du Dr B______ du 24 juin 2014 ne permet pas non plus de mettre en doute les conclusions du Dr E______. En effet, elle se borne à justifier le</w:t>
      </w:r>
    </w:p>
    <w:p>
      <w:r>
        <w:t>A/717/2015 - 15/16 - caractère contre-indiqué de la solution prothétique amovible en se référant à l’inhalation de l’ancienne prothèse lors d’une crise d’épilepsie en 2004. Quant au rapport de consultation du Dr D______ du 20 août 2014, il ne se prononce pas sur l’alternative prothétique amovible proposée par le Dr E______. Partant, ce rapport ne remet pas non plus en cause les conclusions claires et motivées du médecin-conseil de l’intimée. Cela étant, il doit être admis qu'une prothèse amovible bilatérale constitue en l'occurrence un traitement approprié.</w:t>
      </w:r>
    </w:p>
    <w:p>
      <w:r>
        <w:rPr>
          <w:b/>
        </w:rPr>
        <w:t>E. 10</w:t>
      </w:r>
    </w:p>
    <w:p>
      <w:r>
        <w:t>Il ne peut non plus être nié qu'une telle prothèse permettrait de rétablir l'entier de la fonction masticatoire, de sorte qu'il s'agit d'un traitement efficace.</w:t>
      </w:r>
    </w:p>
    <w:p>
      <w:r>
        <w:rPr>
          <w:b/>
        </w:rPr>
        <w:t>E. 11</w:t>
      </w:r>
    </w:p>
    <w:p>
      <w:r>
        <w:t>Se pose dès lors la question de savoir si néanmoins le recourant peut prétendre à un traitement consistant en implants et couronnes, sous la réserve de l'efficacité et de l'adéquation d'un tel traitement. En l'espèce, le coût d'un tel traitement est estimé à au moins CHF 10'597.20, selon le dernier devis produit par le recourant, alors que les frais d'une prothèse amovible bilatérale sont évalués à CHF 2'665.25. La pose d'implants et de couronnes serait donc plus de quatre fois plus chère. Ainsi, compte tenu de ce qu'une prothèse bilatérale constitue en l'occurrence un traitement efficace et adéquat, l’on ne saurait exiger de l’assurance obligatoire des soins la prise en charge de la réalisation du traitement par implants endo-osseux.</w:t>
      </w:r>
    </w:p>
    <w:p>
      <w:r>
        <w:rPr>
          <w:b/>
        </w:rPr>
        <w:t>E. 12</w:t>
      </w:r>
    </w:p>
    <w:p>
      <w:r>
        <w:t>Au vu de ce qui précède, les questions de l'efficacité et l'adéquation du traitement requis peuvent rester ouvertes. Il convient toutefois de relever que la production de plusieurs devis consécutifs, modifiant à chaque fois les solutions techniques proposées, jette plutôt le discrédit sur le traitement envisagé.</w:t>
      </w:r>
    </w:p>
    <w:p>
      <w:r>
        <w:rPr>
          <w:b/>
        </w:rPr>
        <w:t>E. 13</w:t>
      </w:r>
    </w:p>
    <w:p>
      <w:r>
        <w:t>En conséquence, le recours sera rejeté. Il sera par ailleurs donné acte à l'intimée de ce qu'elle s'engage à assumer le coût correspondant à un traitement endodontique et à la reconstitution en composite de la dent n° 23 et à verser la somme de CHF 2'665.25 correspondant au coût d'une prothèse supérieure.</w:t>
      </w:r>
    </w:p>
    <w:p>
      <w:r>
        <w:rPr>
          <w:b/>
        </w:rPr>
        <w:t>E. 14</w:t>
      </w:r>
    </w:p>
    <w:p>
      <w:r>
        <w:t>La procédure est gratuite (art. 61 let. a LPGA). ***</w:t>
      </w:r>
    </w:p>
    <w:p>
      <w:r>
        <w:t>A/717/2015 - 16/16 -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