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ATAS/928/2021 vom 14. September 2021</w:t>
      </w:r>
    </w:p>
    <w:p>
      <w:r>
        <w:t>GE Cour de justice, 2021-09-14, FR</w:t>
      </w:r>
    </w:p>
    <w:p>
      <w:r>
        <w:rPr>
          <w:b/>
        </w:rPr>
        <w:t xml:space="preserve">Quelle: </w:t>
      </w:r>
      <w:r>
        <w:t>https://mcp.opencaselaw.ch/entscheid/ge_gerichte_ATAS_928_2021</w:t>
      </w:r>
    </w:p>
    <w:p>
      <w:r>
        <w:t>FR: GE_GERICHTE ATAS/928/2021 du 14 septembre 2021</w:t>
      </w:r>
    </w:p>
    <w:p>
      <w:r>
        <w:t>IT: GE_GERICHTE ATAS/928/2021 del 14 settembre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2017, est entrée en vigueur la modification du 25 septembre 2015 de la LAA. Dans la mesure où l'accident est survenu après cette date, le droit aux prestations d'assurance est soumis au nouveau droit. Les dispositions légales seront citées ci-après dans leur teneur en vigueur à compter du 1er janvier 2017. Le 1er janvier 2021 est entrée en vigueur la modification du 21 juin 2019 de la LPGA. Toutefois, dans la mesure où le recours était, au 1er janvier 2021, pendant devant la chambre de céans, il reste soumis à l'ancien droit (cf. art. 83 LPGA).</w:t>
      </w:r>
    </w:p>
    <w:p>
      <w:r>
        <w:t>A/3250/2020 - 5/17 -</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droit de l’assurée aux prestations LAA au-delà du 21 juillet 2020.</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t>A/3250/2020 - 6/17 -</w:t>
      </w:r>
    </w:p>
    <w:p>
      <w:r>
        <w:rPr>
          <w:b/>
        </w:rPr>
        <w:t>E. 6</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6.8</w:t>
      </w:r>
    </w:p>
    <w:p>
      <w:r>
        <w:t>;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t>A/3250/2020 - 7/17 -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A/3250/2020 - 8/17 -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A/3250/2020 - 9/17 -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w:t>
      </w:r>
    </w:p>
    <w:p>
      <w:r>
        <w:t>A/3250/2020 - 10/17 -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ATF 122 V 157 consid. 1d).</w:t>
      </w:r>
    </w:p>
    <w:p>
      <w:r>
        <w:rPr>
          <w:b/>
        </w:rPr>
        <w:t>E. 13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w:t>
      </w:r>
    </w:p>
    <w:p>
      <w:r>
        <w:rPr>
          <w:b/>
        </w:rPr>
        <w:t>E. 14</w:t>
      </w:r>
    </w:p>
    <w:p>
      <w:r>
        <w:t>mai 2020. Il est vrai que la SUVA ne lui a pas communiqué cet avis avant de rendre sa décision. La question de savoir s’il y a eu ou non violation du droit d’être entendu</w:t>
      </w:r>
    </w:p>
    <w:p>
      <w:r>
        <w:t>A/3250/2020 - 11/17 - pour ce motif peut toutefois rester ouverte, dès lors qu’une telle violation serait quoi qu'il en soit réparée, la chambre de céans ayant plein pouvoir d’examen.</w:t>
      </w:r>
    </w:p>
    <w:p>
      <w:r>
        <w:rPr>
          <w:b/>
        </w:rPr>
        <w:t>E. 15</w:t>
      </w:r>
    </w:p>
    <w:p>
      <w:r>
        <w:t>a. L’assurée a été victime d’un accident le 21 janvier 2020, à la suite duquel elle a été mise en arrêt de travail, puis licenciée par son employeur le 25 juin 2020 avec effet au 31 juillet 2020. La SUVA a initialement octroyé des prestations en lien avec cet accident. Elle y a mis fin au 21 juillet 2020, se fondant sur l’avis du médecin d’arrondissement du 14 mai 2020, selon lequel la santé de l’assurée au niveau du dos était déjà altérée avant l’accident de manière significative avec dégénérescence disco-vertébrale, aucune atteinte n’a été, au degré de la vraisemblance prépondérante, causée par l’accident et le statu quo sine est atteint le 21 juillet 2020 pour la colonne cervico- dorsale. Le médecin d’arrondissement a confirmé son avis le 16 septembre 2020 après avoir pris connaissance des avis médicaux produits par l'assurée à l'appui de son opposition. Il l’a motivée comme suit : « L’IRM cervicale est favorable et confirme que ces discopathies n’ont pas entrainé de compression neurologique, en particulier foraminale, ni de hernie compressive des racines nerveuses cervicales. D’ailleurs, cela a été confirmé a postériori par l’examen électromyographique, qui confirme qu’il n’existe pas d’irritation radiculaire D sans dénervation aiguë dans les myotomes de C4 à D1, ni d’atteinte lésionnelle radiculaire à ces niveaux également. Le caractère diffus des fourmillements est mal systématisé et pourrait évoquer une souffrance du plexus cervicobrachial, comme l’indique le neurologue. Toutefois, un traumatisme de l’épaule n’a pas été évoqué et exploré, qui par ailleurs s’il avait existé, il s’agirait d’une contusion simple. L’appréciation médico-assécurologique met en évidence l’existence d’éléments dégénératifs cervicaux préexistants à l’événement qui nous concerne, une discopathie dégénérative bien décrite par l’IRM en particulier et l’absence de compression neurologique. Par conséquent, il n’y a pas d’atteinte lésionnelle aux niveaux cervical, dorsal et de toutes les zones contusionnées créée en vraisemblance prépondérante par l’événement allégué possiblement par notre assurée. Sur le plan médico-assécurologique régulier, ce type d’événement a cessé ses effets 6 mois après sa survenue. Les symptômes présentés par l’assurée sont en rapport avec une pathologie sous-jacente, certes peut-être méconnue, révélée par l’événement, mais ne rentrant pas en causalité en vraisemblance prépondérante avec celui-ci ». b. Le médecin d’arrondissement a ainsi relevé des éléments dégénératifs préexistants, considéré que les douleurs à la colonne cervico-dorsale n'étaient pas en lien de causalité avec l’accident, et conclu, au degré de vraisemblance prépondérante, que le statu quo sine était atteint le 21 juillet 2020, soit six mois après l’accident.</w:t>
      </w:r>
    </w:p>
    <w:p>
      <w:r>
        <w:t>A/3250/2020 - 12/17 - L’assurée conteste la valeur probante de cette appréciation, considérant qu’elle est succincte, non motivée, et qu'elle se limite à dire qu’elle présente des atteintes dégénératives et préexistantes. Il convient de relever que cette appréciation médicale n’est certes pas le fait d’un spécialiste indépendant, le médecin d’arrondissement devant être considéré comme un médecin interne à la SUVA, et qu’elle a par ailleurs été établie sur dossier. Ces éléments ne suffisent toutefois pas pour nier la valeur probante de ce rapport, pour autant que celui-ci se fonde sur un nombre suffisant de pièces établies suite à un examen clinique de l’assurée et qu’il réponde aux réquisits jurisprudentiels en la matière, ce qui est le cas en l’espèce. Le médecin d’arrondissement, lui-même spécialiste FMH en chirurgie orthopédique et traumatologie de l'appareil locomoteur, a en effet, dans ses appréciations des 14 mai et 16 septembre 2020, examiné et pris en compte toutes les pièces médicales figurant au dossier, lesquelles se fondent sur des examens personnels de l'assurée. Son avis est motivé de façon convaincante. Il doit dès lors se voir reconnaître pleine valeur probante.</w:t>
      </w:r>
    </w:p>
    <w:p>
      <w:r>
        <w:rPr>
          <w:b/>
        </w:rPr>
        <w:t>E. 16</w:t>
      </w:r>
    </w:p>
    <w:p>
      <w:r>
        <w:t>a. Reste à déterminer si les rapports du Dr F______ des 7 avril et 7 juillet 2020, ainsi que celui du Dr G______ du 1er juillet 2020, permettent de contredire les conclusions du médecin d’arrondissement, étant rappelé que lorsqu'une appréciation repose sur une évaluation médicale complète, il faut pour la contester,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Dans son rapport du 7 avril 2020, le Dr F______ a indiqué que « j’ai examiné l’assurée pour un blocage douloureux cervical avec irradiation paresthésique du membre supérieur droit dans les suites d’un accident survenu le 21 janvier dernier. Il ne semble pas exister d’antécédent notable. Elle a loupé une marche dans les escaliers avec traumatisme cranio-cervical. Elle n’a pu se relever tout de suite, ne semble pas avoir perdu connaissance. La radiographie n’a rien révélé mais l’IRM réalisée en février met en évidence une double discopathie C3-C4 (protrusion postéro-latérale gauche probablement pas en cause) et C4-C5 (protrusion foraminale droite probablement en cause). Actuellement, la patiente est gênée en permanence par un torticolis douloureux et par des irradiations paresthésiques du membre supérieur droit qui est lourd avec un peu moins de force que préalablement. (…) En conclusion, névralgie cervico-brachiale droite paresthésiante post-traumatique en rapport avec une petite protrusion discale foraminale droite C4-C5. L’évolution doit être favorable avec le temps ». Le 7 juillet 2020, le Dr F______ a précisé que « comme en témoigne le courrier de son précédent médecin traitant le Dr G______, elle n’a jamais connu de problèmes à la colonne, notamment cervicale jusqu’à cet accident du 21 janvier dernier. Les données cliniques et de l’IRM sont concordantes pour affirmer la responsabilité de l’accident dans la symptomatologie très importante qu’elle a présentée initialement.</w:t>
      </w:r>
    </w:p>
    <w:p>
      <w:r>
        <w:t>A/3250/2020 - 13/17 - Il y a désormais une bonne amélioration et l’on peut raisonnablement espérer une amélioration supplémentaire (voire une guérison) lui permettant de reprendre son activité antérieure. Dans votre courrier, vous mentionnez que l’état antérieur devrait être atteint au plus tard le 21 juillet 2020. L’expérience des cliniciens montre que cela peut prendre davantage de temps, parfois jusqu’à un an. Je ne peux donc que contester la décision de sortir la patiente du régime accident dès le 21 juillet ». Le Dr H______ quant à lui a confirmé le 8 mars 2021 que l’assurée avait fait une chute dans les escaliers au mois de janvier 2020, occasionnant un trauma au niveau de la nuque et de l’hémicorps droit. Il a relevé que les douleurs cervicales avaient persisté et que « la patiente se rend compte qu’elle a de la difficulté à porter des objets lourds avec son membre supérieur droit ». Il affirme que le syndrome cervico-brachial important avec une diminution de la mobilité de la nuque et des signes d’irritation radiculaire déclenchée par les mouvements de rotation, est important et que l’assurée n’ayant aucune plainte à ce niveau préalablement, il est d’origine purement traumatique. b. Il y a lieu de constater que le Dr F______ souligne, tout comme le Dr G______ dans son attestation du 1er juillet 2020, que l’assurée n’a jamais eu de problème à la colonne cervicale auparavant. Le Dr H______ conclut du fait que l’assurée ne s’est jamais plainte de douleurs au niveau cervico-brachial préalablement, que le syndrome important dont elle souffre actuellement, est nécessairement d'origine traumatique. Il importe toutefois de rappeler que le fait que des symptômes douloureux ne se manifestent qu'après la survenance d'un accident ne suffit pas à établir un rapport de causalité naturelle avec cet accident. Le Dr D______ a, quant à lui, mentionné dans son rapport du 29 mai 2020, que sa patiente « présentait des douleurs cervicales aggravées par l’accident », ce qui vient confirmer l'avis du Dr E______, qui a constaté la présence d’éléments préexistants. Force est en conséquence de considérer que les rapports des Drs F______, G______ et D______ ne permettent pas de mettre en doute les conclusions du médecin d’arrondissement. Ils n’établissent pas de manière convaincante l’existence d’un lien de causalité naturelle entre l’accident et les douleurs cervicales dont a continué à se plaindre l’assurée au-delà du 21 juillet 2020.</w:t>
      </w:r>
    </w:p>
    <w:p>
      <w:r>
        <w:rPr>
          <w:b/>
        </w:rPr>
        <w:t>E. 17</w:t>
      </w:r>
    </w:p>
    <w:p>
      <w:r>
        <w:t>L’assurée demande à ce qu’une expertise judiciaire soit ordonnée ou à ce que la cause soit renvoyée à la SUVA pour que celle-ci mette en œuvre une expertise médicale neutre. Elle fait valoir que « face à des avis à ce point opposés, la jurisprudence demande que soit mise sur pied une expertise médicale neutre » et relève que la SUVA elle-même reconnaît que l’état de fait n’est pas suffisamment établi puisqu’elle utilise la forme hypothétique dans sa décision sur opposition. Elle ajoute qu'une expertise permettrait par ailleurs d’investiguer la question de la survenance d’un coup du lapin.</w:t>
      </w:r>
    </w:p>
    <w:p>
      <w:r>
        <w:t>A/3250/2020 - 14/17 - Il convient de rappeler que le droit formel à une expertise médicale n’appartient qu’en cas de doutes quant à la fiabilité et la pertinence des constatations des médecins internes à l’assurance (ATF 135 V 465). Or, il résulte de ce qui précède que les avis médicaux produits par l’assurée ne permettent précisément pas de s’écarter des conclusions du médecin d’arrondissement. Il est vrai que la SUVA a utilisé la forme hypothétique dans sa décision sur opposition, ainsi que le relève la recourante, au chiffre 4 page 4 plus particulièrement. Il y a toutefois lieu de constater que la SUVA a repris les observations du médecin d’arrondissement, qui expliquait le raisonnement qu’il avait suivi et motivait ses conclusions. Aussi envisageait-il, par exemple, la possibilité que le caractère diffus des fourmillements puisse évoquer une souffrance du plexus cervico-brachial, mais l’écartait au vu des résultats de l’électroneuromyographie. L’assurée n’invoque par ailleurs pas souffrir de trouble psychiatrique, de sorte que la SUVA n’avait aucune raison de considérer que le dossier était lacunaire, ce qu’il n’est au demeurant pas. Il n’y a ainsi pas dans le cas d’espèce deux appréciations médicales opposées ayant valeur probante, ce qui obligerait à ordonner une nouvelle mesure d’instruction (arrêts du Tribunal fédéral 9C_301/2013 ; ATF 122 V 157 ; 8C_405/2010 ; 9C_700/2010). Une expertise apparaît, partant, par appréciation anticipée des preuves, inutile.</w:t>
      </w:r>
    </w:p>
    <w:p>
      <w:r>
        <w:rPr>
          <w:b/>
        </w:rPr>
        <w:t>E. 18</w:t>
      </w:r>
    </w:p>
    <w:p>
      <w:r>
        <w:t>a. L’assurée allègue enfin que son cas devrait être analysé sous l’angle de la jurisprudence relative au « coup du lapin ». Elle rappelle à cet égard que lors de sa chute dans les escaliers, elle a violemment heurté la tête contre le mur, de sorte qu’il y a eu au niveau de la tête et du rachis cervical un mouvement de flexion / extension caractéristique du coup du lapin.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(8C_204/2019 ; ATF 134 V 109 consid. 9). Pour l'examen de la causalité adéquate,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w:t>
      </w:r>
    </w:p>
    <w:p>
      <w:r>
        <w:t>A/3250/2020 - 15/17 - lapin » à la colonne cervicale, de traumatisme analogue à la colonne cervicale ou de traumatisme cranio-cérébral, lesquels n'opèrent pas de distinction entre les éléments physiques et psychiques des atteintes (cf. ATF 134 V 109 consid. 10.3 p. 130; 117 V 359 consid. 6a p. 367). Dans le second cas, il y a lieu de se fonder sur les critères applicables en cas de troubles psychiques consécutifs à un accident, c'est-à-dire en excluant les aspects psychiques (cf. ATF 134 V 109 précité consid. 9.5 p. 125 s.; 127 V 102 consid. 5b/bb p. 103 et les références; 115 V 133 consid. 6c/aa p. 140 et 403 consid. 5c/aa p. 409). b. Bien qu’interrogé par le mandataire de l’assurée précisément dans le but de déterminer s’il y avait eu syndrome du « coup du lapin », le Dr H______ ne se réfère à aucun moment à ce syndrome dans son avis du 8 mars 2021. Du reste, aucun des médecins, dont les rapports constituent le présent dossier, soit les Drs E______, F______, G______ et I______, n'évoque le fait que les troubles présentés pourraient être mis en lien avec un traumatisme de type « coup du lapin ». Ils précisent même que le pronostic est favorable. Or, l’existence d’un coup du lapin, ainsi que ses conséquences, doivent donc être confirmées par des informations médicales fiables (ATF 134 V 109). Enfin, l’assurée ne fait valoir aucune plainte appartenant au tableau clinique typique du « coup du lapin ». Aussi la requête de l’assurée selon laquelle son cas devrait être analysé sous l’angle du « coup du lapin » doit-elle être écartée.</w:t>
      </w:r>
    </w:p>
    <w:p>
      <w:r>
        <w:rPr>
          <w:b/>
        </w:rPr>
        <w:t>E. 19</w:t>
      </w:r>
    </w:p>
    <w:p>
      <w:r>
        <w:t>Si, dans le cas d'un état antérieur dégénératif, la hernie discale n'a été activée que par l'accident, mais pas causée par celui-ci, l'assureur ne verse des prestations que pour le syndrome douloureux directement lié à l'accident. Selon l'état actuel des connaissances médicales, on peut s'attendre à ce que le statu quo sine soit atteint après trois à quatre mois dans le cas de lombalgies et de lombosciatiques post- traumatiques, tandis qu'une éventuelle aggravation directionnelle doit être prouvée radiographiquement et se distinguer de l'évolution habituelle de la vieillesse ; une aggravation traumatique d'une affection dégénérative antérieure cliniquement silencieuse de la colonne vertébrale doit généralement être considérée comme terminée après six à neuf mois, mais au plus tard après un an (SVR 2009 UV Nr. 1 S. 1 E. 2.3 [8C_677/2007] ; arrêt 8C_765/2014 du 9 février 2015 E. 6.1). Il résulte en l’espèce de ce qui précède que la névralgie cervico-brachiale ayant seulement été déclenchée par la chute du 21 janvier 2020, la SUVA est uniquement tenue de verser ses prestations jusqu’au rétablissement du statu quo sine, dont le médecin d’arrondissement a fixé la survenance au 21 juillet 2020, sans toutefois expliquer pour quelles raisons il a retenu la durée minimale de la fourchette prévue par la jurisprudence, soit six mois. Il est vrai que selon le Dr F______, « l’expérience des cliniciens montre que cela peut prendre davantage de temps, parfois jusqu’à un an ». Celui-ci se contente toutefois d’énoncer un fait général, sans autre précision.</w:t>
      </w:r>
    </w:p>
    <w:p>
      <w:r>
        <w:t>A/3250/2020 - 16/17 - Aussi n’y a-t-il aucune raison de s’écarter des conclusions du médecin d’arrondissement qui sont conformes à la pratique médicale entérinée par la jurisprudence, et qui ne sont véritablement contredites par aucun avis médical contraire, étant au surplus rappelé que le diagnostic posé par le médecin d’arrondissement est celui de « chute avec contusions fessières et du genou droit, ainsi que choc sur la tête sans PC ».</w:t>
      </w:r>
    </w:p>
    <w:p>
      <w:r>
        <w:t>Au vu de ce qui précède, le recours sera rejeté. L’assurée, vu l’issue, ne peut prétendre à une indemnité à titre de dépens (art. 61 let. g LPGA a contrario). Par ailleurs, les assureurs sociaux qui obtiennent gain de cause devant une juridiction de première instance n'ont en principe pas le droit à une indemnité de dépens (ATF 126 V 149 consid. 4). Pour le surplus, la procédure est gratuite (art. 61 let. a LPGA).</w:t>
      </w:r>
    </w:p>
    <w:p>
      <w:r>
        <w:t>A/3250/2020 - 17/17 -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