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ATAS/928/2019 vom 14. Oktober 2019</w:t>
      </w:r>
    </w:p>
    <w:p>
      <w:r>
        <w:t>GE Cour de justice, 2019-10-14, FR</w:t>
      </w:r>
    </w:p>
    <w:p>
      <w:r>
        <w:rPr>
          <w:b/>
        </w:rPr>
        <w:t xml:space="preserve">Quelle: </w:t>
      </w:r>
      <w:r>
        <w:t>https://mcp.opencaselaw.ch/entscheid/ge_gerichte_ATAS_928_2019</w:t>
      </w:r>
    </w:p>
    <w:p>
      <w:r>
        <w:t>FR: GE_GERICHTE ATAS/928/2019 du 14 octobre 2019</w:t>
      </w:r>
    </w:p>
    <w:p>
      <w:r>
        <w:t>IT: GE_GERICHTE ATAS/928/2019 del 14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LPGA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Le recours, interjeté le 26 février 2018 contre la décision litigieuse du 22 janvier 2018, a été formé en temps utile, compte tenu du report au lundi 26 février 2018 de l’échéance dudit délai tombée sur le samedi 24 février 2018 (art. 38 al. 3 LPGA).</w:t>
      </w:r>
    </w:p>
    <w:p>
      <w:r>
        <w:t>A/667/2018 - 25/44 - Aussi le recours, qui respecte par ailleurs la forme prévue par loi (art. 61 let. b LPGA), est-il recevable.</w:t>
      </w:r>
    </w:p>
    <w:p>
      <w:r>
        <w:rPr>
          <w:b/>
        </w:rPr>
        <w:t>E. 3</w:t>
      </w:r>
    </w:p>
    <w:p>
      <w:r>
        <w:t>a. À titre préalable, la recourante fait valoir une violation de son droit d'être entendue, au motif qu’elle n’avait pas eu accès à l’intégralité de son dossier avant sa réplique, de sorte qu’elle n’avait pas rédigé, en pleine connaissance de cause, ni son opposition au projet de décision ni son recours. b. Ce grief, de nature formelle, doit être examiné en premier lieu (ATF 127 V 431 consid. 3d/aa; 124 V 90 consid. 2 notamment).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132 V 368 consid. 3.1).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c. En l’espèce, l’intimé ne conteste pas avoir, dans la procédure non contentieuse, transmis au médecin traitant, et donc a fortiori à la recourante, uniquement les pièces médicales, au motif que cette dernière n’avait que sollicité lesdits documents et n’avait alors pas demandé à obtenir l’intégralité de son dossier. La chambre de céans constate effectivement que, par pli du 28 septembre 2017, à la demande de sa patiente, le Dr N______ avait invité l’intimé à lui communiquer seulement une copie du rapport de l’expertise psychiatrique. Quoi qu’il en soit,</w:t>
      </w:r>
    </w:p>
    <w:p>
      <w:r>
        <w:t>A/667/2018 - 26/44 - même à supposer que le droit d’être entendu de la recourante n'ait pas été respecté dans la procédure préalable, celle-ci a pu prendre connaissance de l'intégralité de son dossier dans le cadre de la présente procédure et s’est prononcée en toute connaissance de cause par devant la chambre de céans, laquelle jouit d’un plein pouvoir d’examen en fait et en droit (arrêt du Tribunal fédéral 9C_127/2007 du 12 février 2008 consid. 2.2). Ainsi, la violation éventuelle du droit d'être entendu par l’intimé a été réparée au cours de la procédure contentieuse. Par conséquent, le grief de la violation du droit d’être entendu doit être écarté, sans préjudice pour la recourante. Il convient dès lors de se pencher sur le fond du litige.</w:t>
      </w:r>
    </w:p>
    <w:p>
      <w:r>
        <w:rPr>
          <w:b/>
        </w:rPr>
        <w:t>E. 4</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5</w:t>
      </w:r>
    </w:p>
    <w:p>
      <w:r>
        <w:t>Le litige porte sur le droit de la recourante à une rente d'invalidité et à des mesures d'ordre professionnel.</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w:t>
      </w:r>
    </w:p>
    <w:p>
      <w:r>
        <w:t>A/667/2018 - 27/44 -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Le Tribunal fédéral fait généralement preuve de réserve avant de reconnaître le caractère invalidant d'un trouble de la lignée dépressive. Il a notamment précisé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w:t>
      </w:r>
    </w:p>
    <w:p>
      <w:r>
        <w:t>A/667/2018 - 28/44 - conformément aux exigences normatives fixées à l'art. 7 al. 2, 2ème phrase, LPGA (ATF 140 V 193 consid. 3.3 et les références). b. Les atteintes à la santé pertinentes au sens de l’AI peuvent être des atteintes à la santé physique, mentale ou psychique, y compris psychosomatique. Cette dernière catégorie d’atteintes comporte les symptomatologies douloureuses sans substrat organique objectivable (autrement appelées « troubles somatoformes douloureux ») et d’autres affections psychosomatiques assimilées (cf. ATAS/1010/2016 du 6 décembre 2016 consid. 7b). Dans un arrêt de principe du 12 mars 2004 (ATF 130 V 352), le Tribunal fédéral avait posé la présomption que les affections psychosomatiques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Selon un nouvel arrêt de principe rendu par le Tribunal fédéral le 3 juin 2015 (ATF 141 V 281),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w:t>
      </w:r>
    </w:p>
    <w:p>
      <w:r>
        <w:t>A/667/2018 - 29/44 -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w:t>
      </w:r>
    </w:p>
    <w:p>
      <w:r>
        <w:t>A/667/2018 - 30/44 -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w:t>
      </w:r>
    </w:p>
    <w:p>
      <w:r>
        <w:t>A/667/2018 - 31/44 -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c. Dans sa jurisprudence récente (ATF 143 V 409 consid. 4.5 et ATF 143 V 418 consid. 6 et 7 du 30 novembre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d. Une nouvelle jurisprudence ou un changement de celle-ci s'appliquent immédiatement et vaut pour les cas futurs, ainsi que pour les affaires pendantes devant un tribunal au moment de l'adoption de la nouveauté ou du changement</w:t>
      </w:r>
    </w:p>
    <w:p>
      <w:r>
        <w:t>A/667/2018 - 32/44 - (ex nunc et pro futuro) (ATF 132 II 153 consid. 5.1 ; ATF 122 I 57 consid. 3cc/bb et les arrêts cités; voir également arrêt du Tribunal fédéral 9C_640/2013 du 23 avril 2014 consid. 6.3.2). Elle s'applique donc également, mais sans effet rétroactif, quand l'événement assuré s'est produit avant le prononcé du changement de jurisprudence. On peut s'inspirer, à cet égard des règles relatives à la non- rétroactivité d'une nouvelle disposition légale. L'interdiction de la rétroactivité fait obstacle à l'application d'une nouvelle disposition légale à des faits entièrement révolus avant son adoption (rétroactivité proprement dite) ; il est en revanche admissible d'appliquer la nouvelle norme à des faits ayant pris naissance sous l'empire du droit antérieur, mais qui déploient encore des effets sous le nouveau droit (rétroactivité improprement dite), sous réserve des droits acquis (arrêt du Tribunal fédéral 9C_640/2013 du 23 avril 2014 consid. 6.3.2 et les références citées ; ATAS/218/2017 du 21 mars 2017 consid. 12).</w:t>
      </w:r>
    </w:p>
    <w:p>
      <w:r>
        <w:rPr>
          <w:b/>
        </w:rPr>
        <w:t>E. 8</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A/667/2018 - 33/44 -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A/667/2018 - 34/44 -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l’intimé, se référant à l’avis du SMR du 16 janvier 2018, lui-même basé sur le rapport de l’examen bi-disciplinaire du 12 septembre 2017, nie le droit de la recourante à une rente d'invalidité et à des mesures d’ordre professionnel, au motif que le délai d’attente d’une année (art. 28 al. 1 let. b LAI) n’était pas échu, cette dernière ayant présenté une incapacité de travail totale du 7 avril au 31 octobre 2013, puis une capacité de travail entière dans toute activité. b. Le rapport bi-disciplinaire se fonde sur une anamnèse détaillée, un examen clinique de la recourante et tient compte des plaintes rapportées par cette dernière. Il a été établi en pleine connaissance du dossier (soit les rapports médicaux et le dossier radiologique) et ses conclusions, dûment motivées, sont convaincantes. Ce rapport doit donc se voir reconnaître une pleine force probante. b/aa. Sur le plan somatique, la recourante a été victime d’une chute le 7 avril 2013 ayant entraîné une fracture de la cheville droite ainsi que la déchirure des ligaments de la cheville gauche. La cheville droite a été traitée par ostéosynthèse, compliquée d’une algodystrophie. L’évolution a été lentement favorable et la recourante a pu abandonner ses béquilles en octobre 2013. À ce moment, elle a repris son activité</w:t>
      </w:r>
    </w:p>
    <w:p>
      <w:r>
        <w:t>A/667/2018 - 35/44 - (ateliers de mobilisation fonctionnelle pour les personnes handicapées) avant de l’abandonner dès janvier 2014 en raison de tachycardies sinusales. Dans le cadre de l’examen bi-disciplinaire, les examinateurs ont constaté que, la marche, à plat, s’effectuait d’un pas normal, sans boiterie. Les marches sur les talons et la pointe des pieds étaient réussies, sans douleur. Dans les escaliers, le pas était lent. La cheville et le pied étaient indolores. Il n’y avait pas de tuméfaction, pas de dyscoloration, pas de trouble trophique. Un petit nodule sous-cutané, indolore à la palpation, se situait au niveau plantaire interne du côté droit. Les dernières radiographies de la cheville droite (du 16 octobre 2014) montraient une bonne consolidation de la fracture et la récupération d’une trame osseuse normale. La recourante ne présentait plus le symptôme principal de l’algodystrophie. Il ne subsistait qu’une légère diminution de la flexion dorsale de la cheville droite, une légère augmentation de la température et une diminution de la sensibilité par rapport au côté controlatéral. Ils ont conclu que l’algodystrophie était au décours et la fracture de la cheville bien consolidée. La cheville gauche était, quant à elle, asymptomatique. Il n’y avait pas de limitations fonctionnelles sur le plan ostéoarticulaire. La recourante avait interrompu son activité (conduite des ateliers pour le mouvement fonctionnel chez les personnes handicapées) non pour des raisons ostéoarticulaires, mais suite à des tachycardies sinusales. À partir de novembre 2013, les signes et symptômes de l’algodystrophie étaient suffisamment atténués pour lui permettre de reprendre son travail. Les examinateurs sont parvenus à la conclusion qu'il n'existait aucun diagnostic somatique (ostéoarticulaire) ayant une influence sur la capacité de travail dans l’activité habituelle de secrétaire (que la recourante avait exercée de 1992 à 2006) ou dans une activité adaptée dès novembre 2013. Ils ont retenu une incapacité de travail totale dans toute activité en raison de la fracture de la cheville droite du 7 avril à fin octobre 2013. b/bb. Sur le plan psychique, les examinateurs ont rappelé les diagnostics et les symptômes ainsi que le traitement suivi par la recourante lors de sa prise en charge à la clinique La Métairie (du 24 février au 4 mai 2014), à l’Hôpital de jour (du 5 mai au 14 octobre 2014), auprès du Dr N______ (psychiatre traitant), aux HUG (du 28 décembre 2015 au 11 janvier 2016) et à la clinique La Lignière (du</w:t>
      </w:r>
    </w:p>
    <w:p>
      <w:r>
        <w:rPr>
          <w:b/>
        </w:rPr>
        <w:t>E. 11</w:t>
      </w:r>
    </w:p>
    <w:p>
      <w:r>
        <w:t>a. Ci-après, il convient d'examiner si les arguments de la recourante commandent de s'écarter des conclusions du rapport bi-disciplinaire. b. La recourante reproche aux examinateurs de ne pas avoir pris en compte les certificats médicaux attestant d’une capacité de travail de 30 % du 28 octobre 2013 au 31 janvier 2014. Il est vrai que les examinateurs n’ont pas mentionné que l’Hôpital de la Tour, où la recourante avait été prise en charge dans les suites de l'accident du 7 avril 2013, a émis des certificats, attestant une capacité de travail de 0 % dès la date de l’accident au 27 octobre 2013 et de 30 % du 28 octobre au 12 décembre 2013, puis du</w:t>
      </w:r>
    </w:p>
    <w:p>
      <w:r>
        <w:rPr>
          <w:b/>
        </w:rPr>
        <w:t>E. 13</w:t>
      </w:r>
    </w:p>
    <w:p>
      <w:r>
        <w:t>a. Enfin, la recourante réclame l'octroi d'une mesure de réadaptation professionnelle. b. Selon l'art. 8 al. 1 LAI, les assurés invalides ou menacés d'une invalidité (art. 8 LPGA) ont droit à des mesures de réadaptations pour autant que ces mesures soient nécessaires et de nature à rétablir, maintenir ou améliorer leur capacité de gain ou leur capacité d'accomplir leurs travaux habituels (let. a) et que les conditions d'octroi des différentes mesures soient remplies (let. b). c. En l’espèce, la recourante dispose d’une pleine capacité de travail dans toute activité depuis le 9 février 2016 (date à compter de laquelle elle n’est plus hospitalisée), de sorte qu’elle n’est ni invalide, ni menacée d'une invalidité. Les mesures de réadaptation professionnelles ne sont donc pas nécessaires en l’absence d’une perte de gain. Les conditions pour l’octroi de telles mesures ne sont donc pas remplies.</w:t>
      </w:r>
    </w:p>
    <w:p>
      <w:r>
        <w:rPr>
          <w:b/>
        </w:rPr>
        <w:t>E. 14</w:t>
      </w:r>
    </w:p>
    <w:p>
      <w:r>
        <w:t>Au vu de ce qui précède, le recours sera rejeté. Bien que la procédure ne soit pas gratuite en matière d'assurance-invalidité (art. 69 al. 1bis LAI) depuis le 1er juillet 2006, il convient de renoncer à la perception d'un émolument, la recourante étant au bénéfice de l'assistance juridique (art. 13 al. 1 du règlement sur les frais, émoluments et indemnités en procédure administrative du 30 juillet 1986 [RFPA - E 5 10.03]).</w:t>
      </w:r>
    </w:p>
    <w:p>
      <w:r>
        <w:t>A/667/2018 - 44/44 -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