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ATAS/928/2014 vom 19. Februar 2014</w:t>
      </w:r>
    </w:p>
    <w:p>
      <w:r>
        <w:t>GE Cour de justice, 2014-02-19, FR</w:t>
      </w:r>
    </w:p>
    <w:p>
      <w:r>
        <w:rPr>
          <w:b/>
        </w:rPr>
        <w:t xml:space="preserve">Quelle: </w:t>
      </w:r>
      <w:r>
        <w:t>https://mcp.opencaselaw.ch/entscheid/ge_gerichte_ATAS_928_2014</w:t>
      </w:r>
    </w:p>
    <w:p>
      <w:r>
        <w:t>FR: GE_GERICHTE ATAS/928/2014 du 19 février 2014</w:t>
      </w:r>
    </w:p>
    <w:p>
      <w:r>
        <w:t>IT: GE_GERICHTE ATAS/928/2014 del 19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1 de la loi sur l'organisation judiciaire, du 26 septembre 2010 (LOJ; RS E 2 05) en vigueur dès le 1er janvier 2011,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l'assurance-vieillesse et survivants, du 20 décembre 1946 (LAVS; RS 831.10). Sa compétence pour juger du cas d’espèce est ainsi établie.</w:t>
      </w:r>
    </w:p>
    <w:p>
      <w:r>
        <w:rPr>
          <w:b/>
        </w:rPr>
        <w:t>E. 2</w:t>
      </w:r>
    </w:p>
    <w:p>
      <w:r>
        <w:t>Aux termes de l’art. 14 de la loi sur la procédure administrative, du 12 septembre 1985 (LPA; RS E 5 10), la procédure peut être suspendue lorsque son sort dépend de la solution d’une question de nature civile, pénale ou administrative pendante devant une autre autorité, jusqu’à droit connu sur ces questions.</w:t>
      </w:r>
    </w:p>
    <w:p>
      <w:r>
        <w:rPr>
          <w:b/>
        </w:rPr>
        <w:t>E. 3</w:t>
      </w:r>
    </w:p>
    <w:p>
      <w:r>
        <w:t>En l’espèce, les deux parties s’accordent pour solliciter la suspension de la présente cause jusqu’à droit rendu sur la réclamation du 18 décembre 2013 contre la taxation fiscale 2004 de M. A_______, déterminante pour la fixation de ses cotisations.</w:t>
      </w:r>
    </w:p>
    <w:p>
      <w:r>
        <w:t>A/2142/2014 - 3/3 -</w:t>
      </w:r>
    </w:p>
    <w:p>
      <w:r>
        <w:t>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