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ATAS/927/2019 vom 14. Oktober 2019</w:t>
      </w:r>
    </w:p>
    <w:p>
      <w:r>
        <w:t>GE Cour de justice, 2019-10-14, FR</w:t>
      </w:r>
    </w:p>
    <w:p>
      <w:r>
        <w:rPr>
          <w:b/>
        </w:rPr>
        <w:t xml:space="preserve">Quelle: </w:t>
      </w:r>
      <w:r>
        <w:t>https://mcp.opencaselaw.ch/entscheid/ge_gerichte_ATAS_927_2019</w:t>
      </w:r>
    </w:p>
    <w:p>
      <w:r>
        <w:t>FR: GE_GERICHTE ATAS/927/2019 du 14 octobre 2019</w:t>
      </w:r>
    </w:p>
    <w:p>
      <w:r>
        <w:t>IT: GE_GERICHTE ATAS/927/2019 del 14 ottobre 2019</w:t>
      </w:r>
    </w:p>
    <w:p>
      <w:pPr>
        <w:pStyle w:val="Heading2"/>
      </w:pPr>
      <w:r>
        <w:t>Erwägungen</w:t>
      </w:r>
    </w:p>
    <w:p>
      <w:r>
        <w:rPr>
          <w:b/>
        </w:rPr>
        <w:t>E. 1</w:t>
      </w:r>
    </w:p>
    <w:p>
      <w:r>
        <w:t>Déclare le recours recevable. Au fond :</w:t>
      </w:r>
    </w:p>
    <w:p>
      <w:r>
        <w:rPr>
          <w:b/>
        </w:rPr>
        <w:t>E. 2</w:t>
      </w:r>
    </w:p>
    <w:p>
      <w:r>
        <w:t>L'admet</w:t>
      </w:r>
    </w:p>
    <w:p>
      <w:r>
        <w:rPr>
          <w:b/>
        </w:rPr>
        <w:t>E. 3</w:t>
      </w:r>
    </w:p>
    <w:p>
      <w:r>
        <w:t>Réforme la décision de la CAISSE CANTONALE GENEVOISE DE COMPENSATION du 29 août 2019, en ce sens que la taxation FFP 2019 doit s'établir sur la base de 24 salariés et non 34;</w:t>
      </w:r>
    </w:p>
    <w:p>
      <w:r>
        <w:rPr>
          <w:b/>
        </w:rPr>
        <w:t>E. 4</w:t>
      </w:r>
    </w:p>
    <w:p>
      <w:r>
        <w:t>Retourne la cause à l'intimée pour suite utile</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