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ATAS/926/2017 vom 18. Oktober 2017</w:t>
      </w:r>
    </w:p>
    <w:p>
      <w:r>
        <w:t>GE Cour de justice, 2017-10-18, FR</w:t>
      </w:r>
    </w:p>
    <w:p>
      <w:r>
        <w:rPr>
          <w:b/>
        </w:rPr>
        <w:t xml:space="preserve">Quelle: </w:t>
      </w:r>
      <w:r>
        <w:t>https://mcp.opencaselaw.ch/entscheid/ge_gerichte_ATAS_926_2017</w:t>
      </w:r>
    </w:p>
    <w:p>
      <w:r>
        <w:t>FR: GE_GERICHTE ATAS/926/2017 du 18 octobre 2017</w:t>
      </w:r>
    </w:p>
    <w:p>
      <w:r>
        <w:t>IT: GE_GERICHTE ATAS/926/2017 del 18 ottobre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w:t>
      </w:r>
    </w:p>
    <w:p>
      <w:r>
        <w:rPr>
          <w:b/>
        </w:rPr>
        <w:t>E. 4</w:t>
      </w:r>
    </w:p>
    <w:p>
      <w:r>
        <w:t>Interjeté dans la forme et le délai prescrits, le recours est recevable (art. 56 et 60LPGA ; art. 43 LPCC ; art. 89B de la loi sur la procédure administrative du 12 septembre 1985 (LPA-GE - E 5 10).</w:t>
      </w:r>
    </w:p>
    <w:p>
      <w:r>
        <w:t>A/3114/2016 - 5/13 -</w:t>
      </w:r>
    </w:p>
    <w:p>
      <w:r>
        <w:rPr>
          <w:b/>
        </w:rPr>
        <w:t>E. 5</w:t>
      </w:r>
    </w:p>
    <w:p>
      <w:r>
        <w:t>L'objet de litige porte sur le bien-fondé de la prise en compte dans le calcul des prestations complémentaires d'un tiers du loyer de l'intéressé, dès le 1er octobre 2015 et de la demande de restitution du trop-perçu pour la période du 1er avril 2012 au 30 septembre 2015, étant relevé que le courrier d'accompagnement de la décision du 9 septembre 2015 mentionne manifestement par erreur un trop-perçu pour la période du 1er avril au 30 septembre 2015, ce qui ne correspond pas aux plans de calculs de la décision.</w:t>
      </w:r>
    </w:p>
    <w:p>
      <w:r>
        <w:rPr>
          <w:b/>
        </w:rPr>
        <w:t>E. 6</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 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w:t>
      </w:r>
    </w:p>
    <w:p>
      <w:r>
        <w:rPr>
          <w:b/>
        </w:rPr>
        <w:t>E. 7</w:t>
      </w:r>
    </w:p>
    <w:p>
      <w:r>
        <w:t>Selon l'art. 9 al. 1 LPC, le montant de la prestation complémentaire annuelle correspond à la part des dépenses reconnues qui excède les revenus déterminants.</w:t>
      </w:r>
    </w:p>
    <w:p>
      <w:r>
        <w:rPr>
          <w:b/>
        </w:rPr>
        <w:t>E. 8</w:t>
      </w:r>
    </w:p>
    <w:p>
      <w:r>
        <w:t>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w:t>
      </w:r>
    </w:p>
    <w:p>
      <w:r>
        <w:t>A/3114/2016 - 6/13 -</w:t>
      </w:r>
    </w:p>
    <w:p>
      <w:r>
        <w:rPr>
          <w:b/>
        </w:rPr>
        <w:t>E. 9</w:t>
      </w:r>
    </w:p>
    <w:p>
      <w:r>
        <w:t>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intéressés avec enfants sans droit à la rente seraient désavantagés non seulement envers les intéressés sans enfants, mais en règle générale également envers les intéressés dont les enfants auraient droit à une rente (arrêt du Tribunal fédéral des assurances P.56/00 du 5 juillet 2001 in Pratique VSI 5/2001, p. 237).</w:t>
      </w:r>
    </w:p>
    <w:p>
      <w:r>
        <w:rPr>
          <w:b/>
        </w:rPr>
        <w:t>E. 10</w:t>
      </w:r>
    </w:p>
    <w:p>
      <w:r>
        <w:t>Selon la jurisprudence, le critère est de savoir s'il y a logement commun, indépendamment de savoir s'il y a bail commun ou si l'un des occupants paie seul le loyer (ATF 127 V 17 consid. 6b; arrêt du Tribunal fédéral des assurances P.53/01 du 13 mars 2002 consid. 3a/aa).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w:t>
      </w:r>
    </w:p>
    <w:p>
      <w:r>
        <w:rPr>
          <w:b/>
        </w:rPr>
        <w:t>E. 12</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13</w:t>
      </w:r>
    </w:p>
    <w:p>
      <w:r>
        <w:t>En l’espèce, le recourant a annoncé au SPC, dans le formulaire de révision du</w:t>
      </w:r>
    </w:p>
    <w:p>
      <w:r>
        <w:rPr>
          <w:b/>
        </w:rPr>
        <w:t>E. 17</w:t>
      </w:r>
    </w:p>
    <w:p>
      <w:r>
        <w:t>En l'espèce, le recourant a informé l’intimé de sa cohabitation le 17 juillet 2015, de sorte qu’en réclamant la restitution des prestations perçues indûment par décision du 9 septembre 2015, notifiée le 28 suivant, l’intimé a agi dans le délai de péremption d’une année. Le recourant, qui n'a pas annoncé au SPC qu'il cohabitait avec Mme C______ dès 2012 et le fils de celle-ci dès 2013, a manqué à son obligation de communiquer, au sens de l'art. 31 LPC, et ce, particulièrement au regard des informations générales reçues annuellement qui mentionnaient le devoir d'annoncer tout changement dans sa situation financière et/ou personnelle. Il s’ensuit que l’intimé pouvait requérir la</w:t>
      </w:r>
    </w:p>
    <w:p>
      <w:r>
        <w:t>A/3114/2016 - 12/13 - restitution des prestations dans le délai de sept ans et que le délai de péremption absolu n'était donc pas atteint lorsqu'il l'a fait.</w:t>
      </w:r>
    </w:p>
    <w:p>
      <w:r>
        <w:rPr>
          <w:b/>
        </w:rPr>
        <w:t>E. 18</w:t>
      </w:r>
    </w:p>
    <w:p>
      <w:r>
        <w:t>Le SPC devra toutefois revoir ses calculs pour tenir compte des données ressortant du registre de l'OCPM, selon les art. 25 al. 1 let. d et al. 2 let. d OPC-AVS/AI, et tenir compte, dans les dépenses du recourant, de la moitié de son loyer pour la période du 1er mars 2012 au 31 mars 2013, d'un tiers de son loyer du 1er avril 2013 au 31 décembre 2015, de la moitié de son loyer du 1er janvier au 31 mars 2016 et enfin de la totalité du loyer de l'assuré dès le mois d'avril 2016.</w:t>
      </w:r>
    </w:p>
    <w:p>
      <w:r>
        <w:rPr>
          <w:b/>
        </w:rPr>
        <w:t>E. 19</w:t>
      </w:r>
    </w:p>
    <w:p>
      <w:r>
        <w:t>Le recours sera ainsi partiellement admis, la décision sur opposition annulée et la cause renvoyée à l'intimé pour nouvelle décision au sens des considérants.</w:t>
      </w:r>
    </w:p>
    <w:p>
      <w:r>
        <w:rPr>
          <w:b/>
        </w:rPr>
        <w:t>E. 20</w:t>
      </w:r>
    </w:p>
    <w:p>
      <w:r>
        <w:t>La procédure est gratuite (art. 61 let. a LPGA).</w:t>
      </w:r>
    </w:p>
    <w:p>
      <w:r>
        <w:rPr>
          <w:b/>
        </w:rPr>
        <w:t>E. 21</w:t>
      </w:r>
    </w:p>
    <w:p>
      <w:r>
        <w:t>Il ne sera pas alloué d’indemnité de procédure au recourant qui n'était pas représenté et n’a pas fait valoir de frais engendrés par la procédure (art. 61 let. g LPGA).</w:t>
      </w:r>
    </w:p>
    <w:p>
      <w:r>
        <w:t>A/3114/2016 - 13/13 -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