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ATAS/925/2024 vom 27. November 2024</w:t>
      </w:r>
    </w:p>
    <w:p>
      <w:r>
        <w:t>GE Cour de justice, 2024-11-27, FR</w:t>
      </w:r>
    </w:p>
    <w:p>
      <w:r>
        <w:rPr>
          <w:b/>
        </w:rPr>
        <w:t xml:space="preserve">Quelle: </w:t>
      </w:r>
      <w:r>
        <w:t>https://mcp.opencaselaw.ch/entscheid/ge_gerichte_ATAS_925_2024</w:t>
      </w:r>
    </w:p>
    <w:p>
      <w:r>
        <w:t>FR: GE_GERICHTE ATAS/925/2024 du 27 novembre 2024</w:t>
      </w:r>
    </w:p>
    <w:p>
      <w:r>
        <w:t>IT: GE_GERICHTE ATAS/925/2024 del 27 novembre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Compte tenu du domicile genevois de la recourante,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1er janvier 2017 est entrée en vigueur la modification du 25 septembre 2015 de la LAA.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après le 31 décembre 2016. Le délai de recours est de trente jours (art. 56 LPGA ; art. 62 al. 1 de la de loi sur la procédure administrative du 12 septembre 1985 [LPA - E 5 10]). Interjeté dans la forme et le délai prévus par la loi, le recours est recevable.</w:t>
      </w:r>
    </w:p>
    <w:p>
      <w:r>
        <w:rPr>
          <w:b/>
        </w:rPr>
        <w:t>E. 3</w:t>
      </w:r>
    </w:p>
    <w:p>
      <w:r>
        <w:t>En procédure juridictionnelle administrative, ne peuvent en principe être examinés et jugés que les rapports juridiques à propos desquels l'autorité administrative</w:t>
      </w:r>
    </w:p>
    <w:p>
      <w:r>
        <w:t>A/3757/2023 - 8/15 -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et les références ;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4</w:t>
      </w:r>
    </w:p>
    <w:p>
      <w:r>
        <w:t>Le litige porte sur la question du bien-fondé du rejet par l'intimé de la demande de révision procédurale de la décision du 25 janvier 2021 entrée en force. En d'autres termes, le litige se limite à la question de savoir s'il existe des faits ou moyens de preuve nouveaux et, cas échéant, s'ils ont été invoqués en temps utile</w:t>
      </w:r>
    </w:p>
    <w:p>
      <w:r>
        <w:rPr>
          <w:b/>
        </w:rPr>
        <w:t>E. 5.1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w:t>
      </w:r>
    </w:p>
    <w:p>
      <w:r>
        <w:rPr>
          <w:b/>
        </w:rPr>
        <w:t>E. 5.2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w:t>
      </w:r>
    </w:p>
    <w:p>
      <w:r>
        <w:t>A/3757/2023 - 9/15 -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5.3</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6.1</w:t>
      </w:r>
    </w:p>
    <w:p>
      <w:r>
        <w:t>Aux termes de l'art. 6 al. 2 LAA, selon sa nouvelle teneur entrée en vigueur le 1er janvier 2017, «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w:t>
      </w:r>
    </w:p>
    <w:p>
      <w:r>
        <w:t>A/3757/2023 - 10/15 -</w:t>
      </w:r>
    </w:p>
    <w:p>
      <w:r>
        <w:rPr>
          <w:b/>
        </w:rPr>
        <w:t>E. 6.2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de l'ordonnance sur l'assurance-accidents du 20 décembre 1982 (OLAA - RS 832.202) sont assimilées à un accident même si elles ont, pour l'essentiel, une origine vraisemblablement maladive ou dégénérative, pour autant qu'une cause extérieure ait, au moins, déclenché les symptômes dont souffre l'assuré (ATF 139 V 327 consid. 3.1 ; ATF 129 V 466;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w:t>
      </w:r>
    </w:p>
    <w:p>
      <w:r>
        <w:rPr>
          <w:b/>
        </w:rPr>
        <w:t>E. 6.3</w:t>
      </w:r>
    </w:p>
    <w:p>
      <w:r>
        <w:t>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A/3757/2023 - 12/15 - médecin doit lui fournir (ATF 122 V 157 consid. 1b). Pour apprécier le droit aux prestations d'assurances sociales, il y a lieu de se baser sur des éléments médicaux fiables (ATF 134 V 231 consid 5.1).</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w:t>
      </w:r>
    </w:p>
    <w:p>
      <w:r>
        <w:t>A/3757/2023 - 13/15 -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la recourante invoque avoir déposé en temps utiles une demande de révision en s’appuyant sur le rapport du Dr J______ du 3 mars 2022, lequel a analysé la causalité entre les lésions aux ligaments établies par l’IRM du 30 novembre 2021 et l’accident de février 2017, soit après l’entrée en force de la décision du 25 janvier 2021. L’intimée, de son côté, estime que la demande est tardive car émise plus de 90 jours après l’IRM du 30 novembre 2021 et qu’en tout état de cause, la recourante n’établit pas l’existence de faits nouveaux. Il convient de déterminer en premier lieu si c'est l'IRM du 30 novembre 2021 ou le rapport du 3 mars 2022 qui constitue un éventuel fait ou moyen de preuve nouveau. En l'espèce, la Cour de céans constate que l'IRM a mis en évidence des lésions alors que le rapport du 3 mars 2022 avait pour but d'évaluer l'éventuel lien de causalité entre lesdites lésions et l'accident de 2017. Il sied dès lors de retenir que c'est l'IRM, soit un moyen de preuve nouveau qui a mis en évidence un fait nouveau, soit les lésions. En effet, l'analyse d'un éventuel lien de causalité n'a pu avoir lieu qu'en raison de la découverte desdites lésions, il en était donc dépendant. Comme le relève à juste titre la recourante, elle n'a pas de formation médicale. Dès lors, bien que soutenue par sa famille et par l'assistante sociale de son employeur, toutes étant sensibilisées à la problématique assécurologique de son dossier, il semble difficile de considérer qu'elle ait pu comprendre les pathologies présentées sur la seule base des résultats de l'IRM sans avoir d'explications ou de discussion avec un médecin. Or, selon les éléments au dossier, les résultats de l'IRM n'ont été discutés qu'à la consultation du 28 janvier 2022, date à laquelle une opération a d'ailleurs été proposée et acceptée par la recourante. La Cour de céans retiendra ainsi que le délai de 90 jours n'a commencé à courir que le 28 janvier 2022. Par conséquent, la demande de révision déposée le 4 avril 2022 l'a été en temps utiles. Reste à examiner si les autres conditions de la révision sont réalisées.</w:t>
      </w:r>
    </w:p>
    <w:p>
      <w:r>
        <w:t>A/3757/2023 - 14/15 - Ainsi, conformément aux principes rappelés ci-dessus, il faut notamment que le diagnostic, soit les lésions ligamentaires, porte sur un fait antérieur à la décision du 25 janvier 2021. La Cour de céans considère que la recourante n'a pas établi au degré de la vraisemblance prépondérante que les lésions ligamentaires constatées plus de quatre ans après l'accident, malgré un suivi médical continu, étaient déjà présentes à ce moment-là. En effet, le Dr J______ s'est limité à conclure que les examens réalisés préalablement n'étaient pas assez performants ou à tout le moins n'avaient pas permis de les objectiver sans autre développement pour expliquer que lesdites lésions n'aient pas été décelées notamment à l'échographie qui existait déjà au dossier. Partant, cette condition faisant défaut, le refus d'entrer en matière de l'intimée est fondé, sans qu'il soit nécessaire de procéder aux actes d'instruction sollicités par la recourante. Au vu de ce qui précède, le recours sera rejeté. Pour le surplus, la procédure est gratuite (art. 61 let. fbis LPGA a contrario).</w:t>
      </w:r>
    </w:p>
    <w:p>
      <w:r>
        <w:t>A/3757/2023 - 15/15 -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