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ATAS/925/2019 vom 9. Oktober 2019</w:t>
      </w:r>
    </w:p>
    <w:p>
      <w:r>
        <w:t>GE Cour de justice, 2019-10-09, FR</w:t>
      </w:r>
    </w:p>
    <w:p>
      <w:r>
        <w:rPr>
          <w:b/>
        </w:rPr>
        <w:t xml:space="preserve">Quelle: </w:t>
      </w:r>
      <w:r>
        <w:t>https://mcp.opencaselaw.ch/entscheid/ge_gerichte_ATAS_925_2019</w:t>
      </w:r>
    </w:p>
    <w:p>
      <w:r>
        <w:t>FR: GE_GERICHTE ATAS/925/2019 du 9 octobre 2019</w:t>
      </w:r>
    </w:p>
    <w:p>
      <w:r>
        <w:t>IT: GE_GERICHTE ATAS/925/2019 del 9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 Sa compétence pour juger du cas d’espèce est ainsi établie.</w:t>
      </w:r>
    </w:p>
    <w:p>
      <w:r>
        <w:rPr>
          <w:b/>
        </w:rPr>
        <w:t>E. 2</w:t>
      </w:r>
    </w:p>
    <w:p>
      <w:r>
        <w:t>En l’occurrence, la recourante ne conteste pas la décision de restitution du 15 août 2019, mais demande seulement la remise de l’obligation de restituer, au sens de l’art. 25 al. 1 phr. 2 LPGA. La chambre de céans ne peut se prononcer sur la question de la remise, dès lors que l’intimé n’a pas encore rendu de décision à ce</w:t>
      </w:r>
    </w:p>
    <w:p>
      <w:r>
        <w:t>A/3375/2019 - 3/4 - sujet. Il devra le faire après l’entrée en force de la demande de restitution (art. 4 al. 4 et 5 OPGA; ATAS/82/2016 du 2 février 2016 consid. 2).</w:t>
      </w:r>
    </w:p>
    <w:p>
      <w:r>
        <w:rPr>
          <w:b/>
        </w:rPr>
        <w:t>E. 3</w:t>
      </w:r>
    </w:p>
    <w:p>
      <w:r>
        <w:t>Il en résulte que le recours est irrecevable.</w:t>
      </w:r>
    </w:p>
    <w:p>
      <w:r>
        <w:rPr>
          <w:b/>
        </w:rPr>
        <w:t>E. 4</w:t>
      </w:r>
    </w:p>
    <w:p>
      <w:r>
        <w:t>La procédure est gratuite.</w:t>
      </w:r>
    </w:p>
    <w:p>
      <w:r>
        <w:t>A/3375/2019 - 4/4 -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