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ATAS/925/2017 vom 18. Oktober 2017</w:t>
      </w:r>
    </w:p>
    <w:p>
      <w:r>
        <w:t>GE Cour de justice, 2017-10-18, FR</w:t>
      </w:r>
    </w:p>
    <w:p>
      <w:r>
        <w:rPr>
          <w:b/>
        </w:rPr>
        <w:t xml:space="preserve">Quelle: </w:t>
      </w:r>
      <w:r>
        <w:t>https://mcp.opencaselaw.ch/entscheid/ge_gerichte_ATAS_925_2017</w:t>
      </w:r>
    </w:p>
    <w:p>
      <w:r>
        <w:t>FR: GE_GERICHTE ATAS/925/2017 du 18 octobre 2017</w:t>
      </w:r>
    </w:p>
    <w:p>
      <w:r>
        <w:t>IT: GE_GERICHTE ATAS/925/2017 del 18 ottobre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8 août 1986, d’autre part le 19 octobre 2012, date à laquelle le jugement de divorce est devenu exécutoire.</w:t>
      </w:r>
    </w:p>
    <w:p>
      <w:r>
        <w:rPr>
          <w:b/>
        </w:rPr>
        <w:t>E. 4</w:t>
      </w:r>
    </w:p>
    <w:p>
      <w:r>
        <w:t>Il ressort de l’instruction de la cause que la prestation acquise pendant le mariage par le demandeur est de CHF 30'626.62 (CHF 21'476.50 + CHF 1'666.75 Fondation BCGE + CHF 2'081.07 FIS + CHF 5'402.30 Helvetia). Celle acquise par la demanderesse est de CHF 211'407.70.- (CHF 210'814.- CPEG + CHF 593.70 Fondation BCGE). Les intérêts ont déjà été calculés par les institutions de prévoyance défenderesses.</w:t>
      </w:r>
    </w:p>
    <w:p>
      <w:r>
        <w:t>A/600/2013 6/7 Ainsi la demanderesse doit à son ex-époux CHF 105'703.85 (CHF 211'407.70 : 2) et celui-ci lui doit CHF 15'313.31 (CHF 30'626.62 : 2), de sorte qu'au final c’est la demanderesse qui doit à son ex-époux CHF 90'390.55.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A/600/2013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