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ATAS/925/2008 vom 26. August 2008</w:t>
      </w:r>
    </w:p>
    <w:p>
      <w:r>
        <w:t>GE Cour de justice, 2008-08-26, FR</w:t>
      </w:r>
    </w:p>
    <w:p>
      <w:r>
        <w:rPr>
          <w:b/>
        </w:rPr>
        <w:t xml:space="preserve">Quelle: </w:t>
      </w:r>
      <w:r>
        <w:t>https://mcp.opencaselaw.ch/entscheid/ge_gerichte_ATAS_925_2008</w:t>
      </w:r>
    </w:p>
    <w:p>
      <w:r>
        <w:t>FR: GE_GERICHTE ATAS/925/2008 du 26 août 2008</w:t>
      </w:r>
    </w:p>
    <w:p>
      <w:r>
        <w:t>IT: GE_GERICHTE ATAS/925/2008 del 26 agosto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w:t>
      </w:r>
    </w:p>
    <w:p>
      <w:r>
        <w:t>A/4190/2007 - 7/13 -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4 octobre 2007 et statuant sur un état de fait juridiquement déterminant remontant à l'année 2003, le présent litige sera examiné à la lumière des dispositions de la LPGA. Il convient quoi qu'il en soit de relever que ces dispositions n'ont pas modifié la notion d'invalidité selon l'ancienne LAI et la jurisprudence du TFA y relative est toujours d'actualité.</w:t>
      </w:r>
    </w:p>
    <w:p>
      <w:r>
        <w:rPr>
          <w:b/>
        </w:rPr>
        <w:t>E. 2</w:t>
      </w:r>
    </w:p>
    <w:p>
      <w:r>
        <w:t>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w:t>
      </w:r>
    </w:p>
    <w:p>
      <w:r>
        <w:rPr>
          <w:b/>
        </w:rPr>
        <w:t>E. 3</w:t>
      </w:r>
    </w:p>
    <w:p>
      <w:r>
        <w:t>Le litige porte sur le droit de l'assuré à une rente d'invalidité et à la prise en charge des frais d'un fauteuil roulant.</w:t>
      </w:r>
    </w:p>
    <w:p>
      <w:r>
        <w:rPr>
          <w:b/>
        </w:rPr>
        <w:t>E. 4</w:t>
      </w:r>
    </w:p>
    <w:p>
      <w:r>
        <w:t>a) Aux termes des art. 8 LPGA et 4 LAI, l'invalidité est la diminution de la capacité de gain, présumée permanente ou de longue durée, qui résulte d'une atteinte à la santé physique ou mentale, provenant d'une infirmité congénitale, d'une maladie ou d'un accident. Quant à l’incapacité de gain, elle est définie à l'art. 7 LPGA, comme la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b) Selon l'art. 28 LAI, l'assuré a droit à une rente s'il est invalide à 40% au moins. La rente est échelonnée selon le taux d'invalidité : 40% au moins donne droit à un quart de rente, 50% au moins donne droit à une demi rente, 60% au moins donne droit à un trois-quarts de rente, et 70% au moins donne droit à une rente entière.</w:t>
      </w:r>
    </w:p>
    <w:p>
      <w:r>
        <w:t>A/4190/2007 - 8/13 -</w:t>
      </w:r>
    </w:p>
    <w:p>
      <w:r>
        <w:rPr>
          <w:b/>
        </w:rPr>
        <w:t>E. 5</w:t>
      </w:r>
    </w:p>
    <w:p>
      <w:r>
        <w:t>a) Pour pouvoir établir le droit de l'assuré à des prestations, l'administration ou le juge a besoin de documents que le médecin doit lui fournir. Dans l'assurance- 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b) Selon le principe de la libre appréciation des preuves (art. 61 let. c LPGA), l'administration ou le juge apprécie librement les preuves, sans être lié par des règles formelles, en procédant à une appréciation complète et rigoureuse des preuves.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352 consid. 3a).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Par ailleurs, il peut et doit tenir compte du fait que, selon l'expérience, le médecin traitant est généralement enclin, en cas de doute, à prendre parti pour son patient en raison de la relation de confiance qui l'unit à ce dernier (ATF 125 V consid. 3b/bb et cc). 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t>A/4190/2007 - 9/13 -</w:t>
      </w:r>
    </w:p>
    <w:p>
      <w:r>
        <w:t>d) Il y a lieu de rappeler à ce stade que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w:t>
      </w:r>
    </w:p>
    <w:p>
      <w:r>
        <w:rPr>
          <w:b/>
        </w:rPr>
        <w:t>E. 6</w:t>
      </w:r>
    </w:p>
    <w:p>
      <w:r>
        <w:t>En l'espèce, l'OCAI s'est fondé sur l'expertise du COMAI réalisée le 6 janvier 2006 et complétée le 14 décembre 2006. De cette expertise, il ressort d'une part sur le plan somatique, qu'il n'y a pas d'atteinte rhumatologique, et d'autre part sur le plan psychique, que l'assuré présente une incapacité de travail de 50% en raison de troubles liés à l'abus de substances et de troubles de la personnalité. Les experts ont toutefois conclu qu'il pourrait travailler à plein temps dans une activité assise avec des pauses nécessitées par les injections d'insuline et la prise de collations. Invités à s'expliquer sur ces conclusions paraissant contradictoires, ils ont clairement précisé que l'incapacité de travail était totale dans l'activité antérieure et nulle dans une activité adaptée. Le Tribunal de céans constate que l'expertise COMAI remplit tous les réquisits de la jurisprudence permettant de lui attribuer pleine valeur probante. Les experts ont expliqué en quoi consistaient les atteintes à la santé de l'assuré et quelles limitations elles entraînaient. Leurs conclusions, compte tenu du complément du 14 décembre 2006, sont claires et bien motivées, de sorte qu'il n'y a pas de motif de s'en écarter. Il y a dès lors lieu de retenir les conclusions de l'expertise du COMAI, ce d'autant plus que l'assuré ne présente pas de pathologie psychiatrique qui l'empêcherait d'adhérer à un traitement adéquat. Les avis des médecins traitants ne suffisent pas à les mettre en doute, dans la mesure où ceux-ci ont principalement justifié l'incapacité de travail de leur patient, même dans une activité adaptée, par le fait que le diabète était mal contrôlé.</w:t>
      </w:r>
    </w:p>
    <w:p>
      <w:r>
        <w:rPr>
          <w:b/>
        </w:rPr>
        <w:t>E. 7</w:t>
      </w:r>
    </w:p>
    <w:p>
      <w:r>
        <w:t>Reste à déterminer le degré d'invalidité. Aux termes de l’art. 28 al. 1 LAI, en vigueur depuis le 1er janvier 2004, l’assuré a droit à un quart de rente si le taux d'invalidité atteint 40% au moins, à une demi- rente s’il atteint 50% au moins, à trois-quarts de rente s’il atteint 60% et à une rente entière s’il atteint 70%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w:t>
      </w:r>
    </w:p>
    <w:p>
      <w:r>
        <w:t>A/4190/2007 - 10/13 -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l'espèce, le calcul auquel a procédé l'OCAI est conforme aux dispositions légales et réglementaires applicables, ainsi qu'à la jurisprudence du TFA. L'OCAI a à juste titre pris en considération les chiffres résultant de l'Enquête suisse sur la structure des salaires (ESS) pour établir le revenu avec invalidité. Le taux d'abattement pris en considération par l'OCAI de 15% n'est pas non plus critiquable.</w:t>
      </w:r>
    </w:p>
    <w:p>
      <w:r>
        <w:rPr>
          <w:b/>
        </w:rPr>
        <w:t>E. 8</w:t>
      </w:r>
    </w:p>
    <w:p>
      <w:r>
        <w:t>Selon l'art. 8 LAI,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probable (al.1). Les assurés ont droit aux prestations prévues aux art. 13, 19 et 21 LAI, quelles que soient les possibilités de réadaptation à la vie professionnelle ou à l'accomplissement de leurs travaux habituels (al.2). Les mesures de réadaptation comprennent, notamment, l'octroi de moyens auxiliaires (al.3 let. d). Aux termes de l'art. 21 al. 1 LAI, l'assuré a droit, d'après une liste que dressera le Conseil fédéral, aux moyens auxiliaires dont il a besoin pour exercer une activité lucrative ou accomplir ses travaux habituels, pour étudier ou apprendre un métier ou à des fins d'accoutumance fonctionnelle. L'alinéa 2 de cette disposition stipule que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L'alinéa 3, première phrase,</w:t>
      </w:r>
    </w:p>
    <w:p>
      <w:r>
        <w:t>A/4190/2007 - 11/13 - de cette disposition précise que l'assurance prend en charge les moyens auxiliaires d'un modèle simple et adéquat et les remet en toute propriété ou en prêt. A l'art. 14 du règlement sur l'assurance-invalidité du 17 janvier 1961 (ci-après RAI), le Conseil fédéral a délégué au Département fédéral de l'intérieur la compétence de dresser la liste des moyens auxiliaires et d'édicter des prescriptions complémentaires au sens de l'art. 21 al. 4 LAI. Ce département a édicté l'ordonnance concernant la remise des moyens auxiliaires par l'assurance-invalidité du 29 novembre 1976 (ci-après OMAI)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L'alinéa 4, première phrase, de cette disposition rappelle que l'assuré n'a droit qu'à des moyens auxiliaires d'un modèle simple et adéquat. L'alinéa 5 stipule que lorsqu'un assuré a droit à la remise d'un moyen auxiliaire figurant dans la liste en annexe mais qu'il se contente d'un autre moyen moins onéreux remplissant les mêmes fonctions, ce dernier doit lui être remis s'il ne figure pas dans la liste (voir aussi sous le chiffre 1028 de la Circulaire concernant la remise de moyens auxiliaires par l'assurance-invalidité (ci- après CMAI)).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L'octroi d'un fauteuil roulant est prévu au point 9.01 de la liste en annexe de l'OMAI. La remise d'un fauteuil roulant doit se justifier sur le point de vue médical. L'utilisation d'un moyen auxiliaire doit être indispensable et en rapport avec l'invalidité (cf chiffre 1059 notamment, de la CMAI).</w:t>
      </w:r>
    </w:p>
    <w:p>
      <w:r>
        <w:rPr>
          <w:b/>
        </w:rPr>
        <w:t>E. 9</w:t>
      </w:r>
    </w:p>
    <w:p>
      <w:r>
        <w:t>Or, en l'espèce, il résulte du rapport d'expertise du 6 janvier 2006, complété le 14 décembre 2006, que l'usage par l'assuré d'un fauteuil roulant pour se déplacer relève d'un choix personnel de sa part. Il n'est ainsi pas justifié par des raisons médicales. Un tel moyen auxiliaire ne saurait dès lors être pris en charge par l'AI. C'est en conséquence à juste titre que l'OCAI a informé l'assuré le 30 juillet 2007 que la remise d'un fauteuil roulant ne serait pas renouvelée.</w:t>
      </w:r>
    </w:p>
    <w:p>
      <w:r>
        <w:t>A/4190/2007 - 12/13 -</w:t>
      </w:r>
    </w:p>
    <w:p>
      <w:r>
        <w:rPr>
          <w:b/>
        </w:rPr>
        <w:t>E. 10</w:t>
      </w:r>
    </w:p>
    <w:p>
      <w:r>
        <w:t>Aussi le recours doit-il être rejeté.</w:t>
      </w:r>
    </w:p>
    <w:p>
      <w:r>
        <w:t>A/4190/2007 - 13/13 -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