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ATAS/924/2018 vom 25. Mai 2018</w:t>
      </w:r>
    </w:p>
    <w:p>
      <w:r>
        <w:t>GE Cour de justice, 2018-05-25, FR</w:t>
      </w:r>
    </w:p>
    <w:p>
      <w:r>
        <w:rPr>
          <w:b/>
        </w:rPr>
        <w:t xml:space="preserve">Quelle: </w:t>
      </w:r>
      <w:r>
        <w:t>https://mcp.opencaselaw.ch/entscheid/ge_gerichte_ATAS_924_2018</w:t>
      </w:r>
    </w:p>
    <w:p>
      <w:r>
        <w:t>FR: GE_GERICHTE ATAS/924/2018 du 25 mai 2018</w:t>
      </w:r>
    </w:p>
    <w:p>
      <w:r>
        <w:t>IT: GE_GERICHTE ATAS/924/2018 del 25 maggio 2018</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Interjeté dans la forme et le délai prévus par la loi, le recours est prima facie recevable (art. 56 et 60 de la loi fédérale sur la partie générale du droit des</w:t>
      </w:r>
    </w:p>
    <w:p>
      <w:r>
        <w:t>A/3180/2018 - 4/7 - assurances sociales du 6 octobre 2000 [LPGA - RS 830.1]; art. 89B de la loi sur la procédure administrative du 12 septembre 1985 [LPA-GE - E 5 10]).</w:t>
      </w:r>
    </w:p>
    <w:p>
      <w:r>
        <w:rPr>
          <w:b/>
        </w:rPr>
        <w:t>E. 4</w:t>
      </w:r>
    </w:p>
    <w:p>
      <w:r>
        <w:t>Le litige porte sur le droit du SPC de suspendre le versement des prestations complémentaires à compter du 31 mai 2018, au motif que l’assuré ne se conforme pas à son obligation de renseigner. Préalablement, la chambre de céans doit examiner la question du rétablissement de l’effet suspensif sollicité par l’assuré.</w:t>
      </w:r>
    </w:p>
    <w:p>
      <w:r>
        <w:rPr>
          <w:b/>
        </w:rPr>
        <w:t>E. 5</w:t>
      </w:r>
    </w:p>
    <w:p>
      <w:r>
        <w:t>a. Selon l'art. 54 al. 1 let. c LPGA les décisions et les décisions sur opposition sont exécutoires lorsque l'effet suspensif attribué à une opposition ou à un recours a été retiré. En vertu de l’art. 11 de l’ordonnance sur la partie générale du droit des assurances sociales du 11 septembre 2002 (OPGA - RS 830.11), l'opposition a un effet suspensif, sauf si un recours contre la décision prise sur opposition n'a pas d'effet suspensif de par la loi (let. a), si l'assureur a retiré l'effet suspensif dans sa décision (let. b), si la décision a une conséquence juridique qui n'est pas sujette à suspension (let. c; al. 1). L'assureur peut, sur requête ou d'office, retirer l'effet suspensif ou rétablir l'effet suspensif retiré dans la décision. Une telle requête doit être traitée sans délai (al. 2). b. La LPGA ne contient aucune disposition topique en matière d'effet suspensif. Selon l'art. 55 al. 1 LPGA,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 RS 172.021). L'art. 61 LPGA, qui règle la procédure de recours devant le tribunal cantonal des assurances, renvoie quant à lui à l'art. 1 al. 3 PA. Aux termes de cette disposition, l'art. 55 al. 2 et 4 PA relatif au retrait de l'effet suspensif est applicable à la procédure devant les autorités cantonales de dernière instance qui ne statuent pas définitivement en vertu du droit public fédéral; est réservé l'art. 97 de la loi fédérale sur l’assurance- vieillesse et survivants du 20 décembre 1946 (LAVS - RS 831.10) relatif au retrait de l'effet suspensif pour les recours formés contre les décisions des caisses de compensation. Selon cette disposition, laquelle est applicable par analogie aux prestations complémentaires par renvoi de l'art. 27 LPC, la caisse de compensation peut, dans sa décision, prévoir qu'un recours éventuel n'aura pas d'effet suspensif, même si la décision porte sur une prestation pécuniaire, l'art. 55 al. 2 à 4 PA étant pour le surplus applicable. L'art. 55 al. 3 PA prévoit que l'autorité de recours ou son président peut restituer l'effet suspensif à un recours auquel l'autorité inférieure l'avait retiré; la demande de restitution de l'effet suspensif est traitée sans délai. c. En droit cantonal, selon l’art. 18 du règlement relatif aux prestations cantonales complémentaires à l'assurance-vieillesse et survivants et à l’assurance-invalidité du 25 juin 1999 (RPCC-AVS/AI - J 4 25.03), l'opposition a un effet suspensif, sauf dans les cas prévus par l'article 11 OPGA appliqué par analogie (al. 1). Le service</w:t>
      </w:r>
    </w:p>
    <w:p>
      <w:r>
        <w:t>A/3180/2018 - 5/7 - peut, sur requête ou d'office, retirer l'effet suspensif ou rétablir l'effet suspensif retiré dans la décision. Une telle requête doit être traitée sans délai (al. 2). L’art. 66 LPA-GE prescrit que sauf disposition légale contraire, le recours a effet suspensif à moins que l'autorité qui a pris la décision attaquée n'ait ordonné l'exécution nonobstant recours (al. 1). Toutefois, lorsque aucun intérêt public ou privé prépondérant ne s'y oppose, la juridiction de recours peut, sur la demande de la partie dont les intérêts sont gravement menacés, retirer ou restituer l'effet suspensif (al. 2).</w:t>
      </w:r>
    </w:p>
    <w:p>
      <w:r>
        <w:rPr>
          <w:b/>
        </w:rPr>
        <w:t>E. 6</w:t>
      </w:r>
    </w:p>
    <w:p>
      <w:r>
        <w:t>Conformément à la jurisprudence relative à l'art. 55 PA à laquelle l'entrée en vigueur de la LPGA et de l'OPGA n'a rien changé (arrêt du Tribunal fédéral des assurances I 46/04 du 24 février 2004 consid. 1, in HAVE 2004 p. 127),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arrêt du Tribunal fédéral 9C_885/2014 du 17 avril 2015 consid. 4.2).</w:t>
      </w:r>
    </w:p>
    <w:p>
      <w:r>
        <w:rPr>
          <w:b/>
        </w:rPr>
        <w:t>E. 7</w:t>
      </w:r>
    </w:p>
    <w:p>
      <w:r>
        <w:t>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voir également arrêt du Tribunal fédéral des assurances I 267/98 du 22 octobre 1998, in VSI 2000 p. 184 consid. 5; Hansjörg SEILER, in Praxiskommentar zum VwVG, n° 103 ad art. 55 PA).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w:t>
      </w:r>
    </w:p>
    <w:p>
      <w:r>
        <w:t>A/3180/2018 - 6/7 - initiée de façon abusive (ATF 129 V 370 et 106 V 18; voir également arrêt du Tribunal fédéral 8C_451/2010 du 10 novembre 2010 consid. 2 à 4, in SVR 2011 IV n° 33 p. 96; arrêt du Tribunal fédéral 9C_207/2014 du 1er mai 2014 consid. 5.3).</w:t>
      </w:r>
    </w:p>
    <w:p>
      <w:r>
        <w:rPr>
          <w:b/>
        </w:rPr>
        <w:t>E. 8</w:t>
      </w:r>
    </w:p>
    <w:p>
      <w:r>
        <w:t>En l’espèce, l’assuré allègue qu’il n’est plus capable, en raison de son âge et de son état de santé, d’accomplir seul les démarches nécessaires pour réunir tous les documents réclamés par le SPC, raison pour laquelle il a demandé l’aide des travailleurs sociaux d’ITAL-UIL, précisant encore que la plupart de ces documents doivent être demandés en Italie. Il conteste ainsi avoir refusé de collaborer. Aux termes de l’art. 43 LPGA,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L'obligation de collaborer ancrée à l'art. 43 LPGA a une portée générale en assurances sociales et vaut ainsi également dans le domaine des prestations complémentaires (arrêt du Tribunal fédéral 9C_180/2009 du 9 septembre 2009 consid. 4.2.1).</w:t>
      </w:r>
    </w:p>
    <w:p>
      <w:r>
        <w:rPr>
          <w:b/>
        </w:rPr>
        <w:t>E. 9</w:t>
      </w:r>
    </w:p>
    <w:p>
      <w:r>
        <w:t>Il n’apparaît ainsi pas en l’état, à un degré de probabilité suffisant, que l’assuré obtiendra gain de cause, pour qu’au stade actuel de la procédure, l’effet suspensif doive être restitué. Quoi qu’il en soit, en pareilles circonstances, l’intérêt de l’administration apparaît généralement prépondérant (ATF 119 V 207 ; 105 V 269). Si le recourant n’obtient pas gain de cause, il est en effet à craindre que la procédure en restitution des prestations versées à tort ne se révèle infructueuse.</w:t>
      </w:r>
    </w:p>
    <w:p>
      <w:r>
        <w:rPr>
          <w:b/>
        </w:rPr>
        <w:t>E. 10</w:t>
      </w:r>
    </w:p>
    <w:p>
      <w:r>
        <w:t>Il ne se justifie dès lors pas de rétablir l’effet suspensif.</w:t>
      </w:r>
    </w:p>
    <w:p>
      <w:r>
        <w:t>A/3180/2018 - 7/7 - PAR CES MOTIFS, LA CHAMBRE DES ASSURANCES SOCIALES : Statuant selon l’art. 21 al. 2 LPA-GE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