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ATAS/923/2013 vom 19. September 2013</w:t>
      </w:r>
    </w:p>
    <w:p>
      <w:r>
        <w:t>GE Cour de justice, 2013-09-19, FR</w:t>
      </w:r>
    </w:p>
    <w:p>
      <w:r>
        <w:rPr>
          <w:b/>
        </w:rPr>
        <w:t xml:space="preserve">Quelle: </w:t>
      </w:r>
      <w:r>
        <w:t>https://mcp.opencaselaw.ch/entscheid/ge_gerichte_ATAS_923_2013</w:t>
      </w:r>
    </w:p>
    <w:p>
      <w:r>
        <w:t>FR: GE_GERICHTE ATAS/923/2013 du 19 septembre 2013</w:t>
      </w:r>
    </w:p>
    <w:p>
      <w:r>
        <w:t>IT: GE_GERICHTE ATAS/923/2013 del 19 settembre 2013</w:t>
      </w:r>
    </w:p>
    <w:p>
      <w:pPr>
        <w:pStyle w:val="Heading2"/>
      </w:pPr>
      <w:r>
        <w:t>Erwägungen</w:t>
      </w:r>
    </w:p>
    <w:p>
      <w:r>
        <w:rPr>
          <w:b/>
        </w:rPr>
        <w:t>E. 1</w:t>
      </w:r>
    </w:p>
    <w:p>
      <w:r>
        <w:t>Conformément à l'art. 134 al. 1 let. a ch. 2 de la loi sur l'organisation judiciaire, du 26 septembre 2010 (LOJ ;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La LPGA, entrée en vigueur le 1er janvier 2003, est applicable.</w:t>
      </w:r>
    </w:p>
    <w:p>
      <w:r>
        <w:rPr>
          <w:b/>
        </w:rPr>
        <w:t>E. 3</w:t>
      </w:r>
    </w:p>
    <w:p>
      <w:r>
        <w:t>Interjeté dans les forme et délai légaux (art. 56 à 60 LPGA), le recours est recevable.</w:t>
      </w:r>
    </w:p>
    <w:p>
      <w:r>
        <w:rPr>
          <w:b/>
        </w:rPr>
        <w:t>E. 4</w:t>
      </w:r>
    </w:p>
    <w:p>
      <w:r>
        <w:t>Est litigieuse la question de savoir si le recourant a droit à une rente d'invalidité, plus précisément si les atteintes à sa santé doivent être considérées comme invalidantes au sens de la loi.</w:t>
      </w:r>
    </w:p>
    <w:p>
      <w:r>
        <w:t>A/1857/2013 - 7/11 -</w:t>
      </w:r>
    </w:p>
    <w:p>
      <w:r>
        <w:rPr>
          <w:b/>
        </w:rPr>
        <w:t>E. 5</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Pour évaluer le degré d'invalidité, sont déterminantes les circonstances qui prévalaient au moment de la naissance éventuelle du droit à la prestation d'assurance, ainsi que les modifications éventuelles survenues jusqu'au moment de la décision litigieuse qui ont des conséquences sur le droit à cette prestation (ATF 129 V 222 consid. 4.1; 128 V 174 consid. 4a).</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w:t>
      </w:r>
    </w:p>
    <w:p>
      <w:r>
        <w:rPr>
          <w:b/>
        </w:rPr>
        <w:t>E. 7</w:t>
      </w:r>
    </w:p>
    <w:p>
      <w:r>
        <w:t>Dans le domaine des assurances sociales, la procédure est régie par la maxime inquisitoire, selon laquelle les faits pertinents de la cause doivent être constatés d’office par le juge. Mais ce principe n’est pas absolu. Sa portée est restreinte par le</w:t>
      </w:r>
    </w:p>
    <w:p>
      <w:r>
        <w:t>A/1857/2013 - 8/11 -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Autrement dit, si la maxime inquisitoire dispense les parties de l’obligation de prouver, elle ne les libère pas du fardeau de la preuve. En cas d’absence de preuve, c’est à la partie qui voulait en déduire un droit d’en supporter les conséquences (ATF 117 V 264 consid. 3).</w:t>
      </w:r>
    </w:p>
    <w:p>
      <w:r>
        <w:rPr>
          <w:b/>
        </w:rPr>
        <w:t>E. 8</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w:t>
      </w:r>
    </w:p>
    <w:p>
      <w:r>
        <w:rPr>
          <w:b/>
        </w:rPr>
        <w:t>E. 9</w:t>
      </w:r>
    </w:p>
    <w:p>
      <w:r>
        <w:t>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(ATF 125 V 351 consid. 3b/ee). Selon la jurisprudence,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Le Tribunal fédéral a ainsi jugé que l’indépendance et l’impartialité des médecins du Centre d’observation médicale de l’assurance-invalidité (COMAI) étaient garanties déjà avant l’entrée en vigueur de leur nouveau statut du 1er juin 1994 (ATF 123 V 175 ; cf. également RAMA 1999 n° U 332 p. 193).</w:t>
      </w:r>
    </w:p>
    <w:p>
      <w:r>
        <w:t>A/1857/2013 - 9/11 -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9C_776/2009 du 11 juin 2010, consid. 2.2).</w:t>
      </w:r>
    </w:p>
    <w:p>
      <w:r>
        <w:rPr>
          <w:b/>
        </w:rPr>
        <w:t>E. 10</w:t>
      </w:r>
    </w:p>
    <w:p>
      <w:r>
        <w:t>En l'espèce, il convient d'examiner quelle valeur probante peut être reconnue à l'expertise pluridisciplinaire des Drs S__________ et T__________, auxquels le recourant reproche d'avoir sous-estimé ses atteintes et leurs répercussions sur sa capacité de travail. A l'appui de ses griefs, le recourant se contente de renvoyer aux rapports établis notamment par les Drs U__________, Q__________ et R__________, sans parvenir véritablement à démontrer, par une argumentation précise et étayée, l'existence de contradictions manifestes ou d'éléments cliniques ou diagnostiques ignorés, et encore moins à expliquer en quoi le point de vue de ses médecins traitants serait objectivement mieux fondé que celui des experts ou justifierait la mise en œuvre d'une mesure d'instruction complémentaire. Force est de constater que les experts, n'ont pas ignoré des éléments retenus auparavant par les médecins traitants de l'assuré et qu'ils ont expliqué de manière convaincante, point par point, les raisons pour lesquels ils rejetaient ou retenaient tel ou tel diagnostic. Qui plus est, leur rapport est très étayé. L'anamnèse est détaillée, les plaintes de l'assuré dument rapportées en plusieurs endroits dans le rapport, plusieurs examens et tests supplémentaires ont été mis sur pied. Les contextes médical, historique et assécurologique sont quant à eux décrits sur de nombreuses pages. Enfin, chaque conclusion est sérieusement motivée.</w:t>
      </w:r>
    </w:p>
    <w:p>
      <w:r>
        <w:t>A/1857/2013 - 10/11 - En conclusion, les résultats de cette expertise sont convaincants et l'étude menée par les experts ne présente aucune contradiction apparente. De plus, aucune circonstance particulière ne donne à penser qu'une partialité ou un manque d'objectivité pourrait être reproché aux Drs S__________ et T__________. Par ailleurs, le recourant ne produit aucun élément susceptible de remettre en cause le bien-fondé de cette expertise, tels que des rapports médicaux émanant d'autres spécialistes par exemple. Au vu de ce qui précède et étant rappelé que la jurisprudence accorde plus de poids aux constatations faites par un spécialiste qu’à l’appréciation de l’incapacité de travail par les médecins traitants, l'expertise pluridisciplinaire doit se voir reconnaître pleine valeur probante. Cette expertise concluant à l'absence de lien de causalité entre les atteintes à la santé du recourant et sa perte de gain, c'est à bon droit que l'intimé a nié à l'intéressé tout droit aux prestations. Par conséquent, le recours est rejeté.</w:t>
      </w:r>
    </w:p>
    <w:p>
      <w:r>
        <w:t>A/1857/2013 - 11/11 -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