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ATAS/923/2012 vom 19. Juli 2012</w:t>
      </w:r>
    </w:p>
    <w:p>
      <w:r>
        <w:t>GE Cour de justice, 2012-07-19, FR</w:t>
      </w:r>
    </w:p>
    <w:p>
      <w:r>
        <w:rPr>
          <w:b/>
        </w:rPr>
        <w:t xml:space="preserve">Quelle: </w:t>
      </w:r>
      <w:r>
        <w:t>https://mcp.opencaselaw.ch/entscheid/ge_gerichte_ATAS_923_2012</w:t>
      </w:r>
    </w:p>
    <w:p>
      <w:r>
        <w:t>FR: GE_GERICHTE ATAS/923/2012 du 19 juillet 2012</w:t>
      </w:r>
    </w:p>
    <w:p>
      <w:r>
        <w:t>IT: GE_GERICHTE ATAS/923/2012 del 19 luglio 2012</w:t>
      </w:r>
    </w:p>
    <w:p>
      <w:pPr>
        <w:pStyle w:val="Heading2"/>
      </w:pPr>
      <w:r>
        <w:t>Erwägungen</w:t>
      </w:r>
    </w:p>
    <w:p>
      <w:r>
        <w:rPr>
          <w:b/>
        </w:rPr>
        <w:t>E. 1</w:t>
      </w:r>
    </w:p>
    <w:p>
      <w:r>
        <w:t>Conformément à l'art. 134 al. 3 let. d de la loi sur l'organisation judiciaire, du 26 septembre 2010 (LOJ; RS E 2 05) en vigueur depuis le 1er janvier 2011, la Chambre des assurances sociales de la Cour de justice connaît en instance unique des contestations prévues à l'art. 38 de la loi cantonale sur les prestations cantonales accordées aux chômeurs en fin de droit, du 18 novembre 1994 (LRMCAS; RS J 2 25). La compétence de la Cour de céans pour juger du cas d’espèce est ainsi établie.</w:t>
      </w:r>
    </w:p>
    <w:p>
      <w:r>
        <w:rPr>
          <w:b/>
        </w:rPr>
        <w:t>E. 2</w:t>
      </w:r>
    </w:p>
    <w:p>
      <w:r>
        <w:t>Le recours, interjeté dans les forme et délai prévus par la loi, est recevable (art. 38 LRMCAS et 57 et ss, not. 89B de la loi genevoise sur la procédure administrative, du 12 septembre 1986 (LPA ; RS E 5 10).</w:t>
      </w:r>
    </w:p>
    <w:p>
      <w:r>
        <w:rPr>
          <w:b/>
        </w:rPr>
        <w:t>E. 3</w:t>
      </w:r>
    </w:p>
    <w:p>
      <w:r>
        <w:t>La LRMCAS a été abrogée avec effet au 1er février 2012. Désormais, les chômeurs en fin de droit ne peuvent plus prétendre à un RMCAS et sont directement pris en charge par l’assistance publique. Cependant, sur le plan matériel, sont en principe applicables les règles de droit en vigueur au moment où les faits juridiquement déterminants se sont produits</w:t>
      </w:r>
    </w:p>
    <w:p>
      <w:r>
        <w:t>A/2175/2011 - 6/10 - (ATF 129 V 1, consid. 1; ATF 127 V 467, consid. 1 et les références). Par conséquent, dès lors que la décision querellée a été rendue le 23 juin 2011, la LRMCAS reste applicable pour trancher le présent litige.</w:t>
      </w:r>
    </w:p>
    <w:p>
      <w:r>
        <w:rPr>
          <w:b/>
        </w:rPr>
        <w:t>E. 4</w:t>
      </w:r>
    </w:p>
    <w:p>
      <w:r>
        <w:t>La question litigieuse porte uniquement sur la remise, le principe de la restitution n’étant en soi pas contesté.</w:t>
      </w:r>
    </w:p>
    <w:p>
      <w:r>
        <w:rPr>
          <w:b/>
        </w:rPr>
        <w:t>E. 5</w:t>
      </w:r>
    </w:p>
    <w:p>
      <w:r>
        <w:t>a) 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Ont droit aux prestations d’aide sociale versées par l’Hospice général, les personnes dont le revenu annuel déterminant n’atteint pas le RMCAS applicable. Aux termes de l’art. 14 LRMCAS, le montant annuel des prestations d’aide sociale correspond à la différence entre le revenu minimum cantonal annuel d’aide sociale applicable et le revenu annuel déterminant de l’intéressé. b) L’art. 3 LRMCAS précise que le RMCAS garanti aux chômeurs en fin de droit s’élève à 13'812 fr. par année (16'522 fr. dès le 1er janvier 2011)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c) L’art. 5 LRMCAS définit le revenu déterminant. Celui-ci comprend notamment le produit de la fortune tant mobilière qu’immobilière (art. 5 al. 1 let. b) LRMCAS) ainsi que le quart de la fortune nette excédant 6'000 fr. pour une personne seule ou 12'000 fr. pour un couple (art. 5 al. 1 let. c). d) Selon l’art. 9 al. 1 LRMCAS, pour la fixation des prestations sont déterminantes les ressources de l’année civile en cours (let. a), la fortune au 1er janvier de l’année pour laquelle la prestation est demandée (let. b). En cas de modification importante de ressources ou de la fortune du bénéficiaire, la prestation est fixée conformément à la situation nouvelle (art. 9 al. 2 LRMCAS).</w:t>
      </w:r>
    </w:p>
    <w:p>
      <w:r>
        <w:rPr>
          <w:b/>
        </w:rPr>
        <w:t>E. 6</w:t>
      </w:r>
    </w:p>
    <w:p>
      <w:r>
        <w:t>a) Aux termes de l'art. 20 RMCAS, l'HOSPICE GENERAL réclame au bénéficiaire le remboursement de toute prestation payée indûment ; toutefois, le bénéficiaire qui était de bonne foi n'est tenu à restitution, totale ou partielle, que dans la mesure où il ne serait pas mis de ce fait dans une situation difficile. Cet article reprend les conditions de la remise, telle que la connaît le droit des assurances sociales et que l’a concrétisée la LPGA à son art. 25 et à l'art. 3 de son</w:t>
      </w:r>
    </w:p>
    <w:p>
      <w:r>
        <w:t>A/2175/2011 - 7/10 - ordonnance. Par conséquent, les principes dégagés à propos de l’art. 25 LPGA et de ses dispositions d’application sont applicables par analogie.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(ATF non publié du 17 avril 2008, 8C_766/2007, consid. 4.1 et les références citées). Enfin, le Tribunal fédéral des assurances a admis une négligence grave dans le cas où l'assuré a donné des réponses inexactes aux questions concrètes d'une formule à remplir (ATF 110 V 181, consid. 3 d, RCC 1985, p. 63).</w:t>
      </w:r>
    </w:p>
    <w:p>
      <w:r>
        <w:rPr>
          <w:b/>
        </w:rPr>
        <w:t>E. 7</w:t>
      </w:r>
    </w:p>
    <w:p>
      <w:r>
        <w:t>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w:t>
      </w:r>
    </w:p>
    <w:p>
      <w:r>
        <w:t>A/2175/2011 - 8/10 - pas, en droit des assurances sociales, un principe selon lequel l’administration ou le juge devrait statuer, dans le doute, en faveur de l’assuré (ATF 126 V 322, consid. 5a).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En l’espèce, le recourant soutient qu’il était de bonne foi au moment du dépôt de ses demandes. Il allègue avoir été convaincu que seul le compte destiné à recevoir les versements du RMCAS devait être mentionné. Dans la mesure où, qui plus est, les avis de taxation fiscale et bordereau d’impôt remis à sa conseillère mentionnaient l’ensemble de ses comptes, il estime qu’il n’a commis qu’une violation légère de l’obligation d’annoncer ou de renseigner. Pour sa part, l’intimé considère que la bonne foi du recourant ne saurait être admise, dès lors qu’il n’a pas déclaré, par le biais des demandes de prestations ou lors des entretiens qu’il a eus avec son assistante sociale, qu’il était titulaire d’un compte no ___________. La Cour constate que les formulaires de demande que le recourant a signés contiennent tous une question 10.5 portant sur les comptes actifs ou clôturés durant les 18 derniers mois (demandes des 19 avril 2006, 11 mars 2008 et 4 mars 2009), voire durant les 12 derniers mois (demande de prestations du 25 mars 2007). Si la question porte également sur les comptes clôturés, c’est qu’à l’évidence elle ne se limite pas au seul compte sur lequel les prestations doivent être versées. Les allégations du recourant selon lesquelles il aurait donc pu légitimement penser que</w:t>
      </w:r>
    </w:p>
    <w:p>
      <w:r>
        <w:t>A/2175/2011 - 9/10 - seul le compte sur lequel devaient être versées les prestations devait être mentionné ne sont donc pas convaincantes. Qui plus est, il ressort des notes de l’assistante sociale qu’elle a dû aider le recourant à compléter le formulaire sur ce point, précisément. Elle a noté que le recourant lui a alors indiqué, à deux reprises, ne disposer que d’un seul compte (voir notes relatives à la rencontre du 27 mars 2007 et à celle du 11 mars 2008). Certes, le recourant le conteste, mais de manière peu convaincante puisqu’il se dit incapable de restituer le contenu exact de ses propos (réplique du 28 novembre 2011). Or, les notes de l’assistante sociale sont corroborées par le fait que deux types d’encre ont été utilisées pour remplir les formulaires des 26 mars 2007 et 11 mars 2008, ce qui confirme qu’ils ont bien été remplis en deux temps. Dans ces circonstances, les dires de l’assistante sociale - qui ne peut manquer d’avoir expliqué au recourant qu’il lui fallait mentionner tous ses comptes - apparaissent bien plus vraisemblables que ceux du recourant qui, malgré la formulation explicite de la question 10.5 et l’aide de l’assistante sociale, n’a pas jugé bon de mentionner le compte no __________ litigieux. Ce faisant, eu égard à ce qui précède et à la jurisprudence précitée, le recourant a manifestement commis une négligence grave. En effet, il ne pouvait raisonnablement penser que le montant relativement important figurant sur le compte en question n’était pas déterminant pour le calcul de ses prestations. Quant au fait que le recourant ait transmis ses avis de taxation à l’HG - on ignore d’ailleurs quand exactement - ne répare en rien l’inexactitude de ses réponses au questionnaire. En effet, le devoir d’informer suppose une démarche active de l’assuré. Le recourant ne pouvait donc se contenter de les faire suivre à son assistante sociale bien après avoir rempli sa demande de prestation et attendre d’elle qu’elle vérifie si les montants correspondaient bien à ceux annoncés précédemment. Qui plus est, les avis de taxation en question ne précisaient pas le nombre de comptes dont le recourant était titulaire. La condition de la bonne foi n’étant pas réalisée, il est superfétatoire d'examiner celle de la condition financière. Partant, le refus d'accorder la remise à l'intéressé ne peut être que confirmé. La Cour de céans relève enfin qu’en matière de RMCAS, le délai de péremption est de cinq ans, de sorte qu’en agissant le 20 décembre 2010, l’intimé a agi en temps utile. Eu égard aux considérations qui précèdent, le recours est donc rejeté.</w:t>
      </w:r>
    </w:p>
    <w:p>
      <w:r>
        <w:t>A/2175/2011 - 10/10 -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