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ATAS/922/2021 vom 8. September 2021</w:t>
      </w:r>
    </w:p>
    <w:p>
      <w:r>
        <w:t>GE Cour de justice, 2021-09-08, FR</w:t>
      </w:r>
    </w:p>
    <w:p>
      <w:r>
        <w:rPr>
          <w:b/>
        </w:rPr>
        <w:t xml:space="preserve">Quelle: </w:t>
      </w:r>
      <w:r>
        <w:t>https://mcp.opencaselaw.ch/entscheid/ge_gerichte_ATAS_922_2021</w:t>
      </w:r>
    </w:p>
    <w:p>
      <w:r>
        <w:t>FR: GE_GERICHTE ATAS/922/2021 du 8 septembre 2021</w:t>
      </w:r>
    </w:p>
    <w:p>
      <w:r>
        <w:t>IT: GE_GERICHTE ATAS/922/2021 del 8 settembre 2021</w:t>
      </w:r>
    </w:p>
    <w:p>
      <w:pPr>
        <w:pStyle w:val="Heading2"/>
      </w:pPr>
      <w:r>
        <w:t>Erwägungen</w:t>
      </w:r>
    </w:p>
    <w:p>
      <w:r>
        <w:rPr>
          <w:b/>
        </w:rPr>
        <w:t>E. 3</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 l’office compétent a au moins un entretien de conseil et de contrôle par mois avec chaque assuré. Lors de cet entretien, il contrôle l’aptitude au placement de l’assuré et examine si celui-ci est disposé à être placé (al. 2) ; l’office compétent convoque à un entretien de conseil et de contrôle tous les deux mois au moins les assurés qui exercent une activité à plein temps leur procurant un gain intermédiaire ou une activité bénévole relevant de l’art. 15, al. 4, LACI (al. 3) ; il convient avec l’assuré de la manière dont il pourra être atteint en règle générale dans le délai d’un jour (al. 4).</w:t>
      </w:r>
    </w:p>
    <w:p>
      <w:r>
        <w:rPr>
          <w:b/>
        </w:rPr>
        <w:t>E. 4</w:t>
      </w:r>
    </w:p>
    <w:p>
      <w:r>
        <w:t>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w:t>
      </w:r>
    </w:p>
    <w:p>
      <w:r>
        <w:rPr>
          <w:b/>
        </w:rPr>
        <w:t>E. 5</w:t>
      </w:r>
    </w:p>
    <w:p>
      <w:r>
        <w:t>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w:t>
      </w:r>
    </w:p>
    <w:p>
      <w:r>
        <w:t>A/1549/2021 - 7/9 - jours en cas de faute de gravité moyenne, et de 31 à 60 jours en cas de faute grave (art. 45 al. 3 OACI). Selon l'art. 45 al. 5 OACI, si l'assuré est suspendu de façon répétée dans son droit à l'indemnité, la durée de suspension est prolongée en conséquence. Les suspensions subies pendant les deux dernières années sont prises en compte dans le calcul de la prolongation. En tant qu'autorité de surveillance, le Secrétariat d’État à l’économie (ci-après : SECO) a adopté un barème indicatif à l'intention des organes d'exécution (Bulletin LACI/D72 et ss).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le barème des suspensions établi par le SECO, lorsque l’assuré n’observe pas les instructions de l’OCE, en ne se rendant notamment pas à un entretien de conseil, sans excuse valable, l’autorité doit infliger une sanction de 5 à 8 jours lors du premier manquement et de 9 à 15 jours lors du second manquement. Dès le troisième manquement, le dossier doit être renvoyé pour décision à l'autorité cantonale (Bulletin LACI IC/D79.3A).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Lorsque la suspension infligée s'écarte de l'échelle des suspensions, l'autorité qui la prononce doit assortir sa décision d'un exposé des motifs justifiant sa sévérité ou sa clémence particulière (Bulletin LACI D72).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w:t>
      </w:r>
    </w:p>
    <w:p>
      <w:r>
        <w:t>A/1549/2021 - 8/9 -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il est rendu vraisemblable, à teneur des relevés figurant à la procédure, que si sa conseillère a bien essayé de l’appeler à trois reprises entre 12h13 et 12h25 le jour convenu pour l’entretien téléphonique, ces appels n’ont pas été réceptionnés par le téléphone du recourant, ce qui confirme les dires de ce dernier et peut s’expliquer par un réseau faible dans le sous-sol où il se trouvait. L’on ne peut dès lors retenir à son encontre qu’il n’était pas disponible au moment des appels. S’agissant toutefois d’une obligation importante - qu’il ne pouvait ignorer vu les informations reçues à ce sujet dans sa langue maternelle par sa conseillère et la documentation reçue -, il ne pouvait se contenter d’attendre l’appel de cette dernière, mais aurait dû réagir en l’appelant lui-même dans le temps imparti à l’entretien. Il ne pouvait être retenu que le recourant prenait ses obligations de chômeur très au sérieux, puisqu’il avait déjà été sanctionné à trois reprises dont une fois pour un cas similaire, de sorte que la jurisprudence du Tribunal fédéral des assurances (C 123/04 du 18 juillet 2005) ne s’appliquait pas au cas d’espèce. C’est donc à juste titre que l’intimé a sanctionné le recourant. Il doit être tenu compte des précédentes sanctions pour fixer la durée de la suspension du droit à l'indemnité de chômage, même s’il ne s’agit pas des mêmes manquements. Si la faute du recourant apparaît relativement légère dans le cas d'espèce du fait qu’il n’a pas reçu les appels de sa conseillère, il faut tenir compte du fait qu’il s’agissait d’un quatrième manquement. Dans ces circonstances, l'intimé n’a pas excédé son pouvoir d'appréciation en fixant la suspension à 15 jours, étant rappelé que cette durée correspond encore à une faute légère, selon l'art. 45 al. 3 OACI.</w:t>
      </w:r>
    </w:p>
    <w:p>
      <w:r>
        <w:rPr>
          <w:b/>
        </w:rPr>
        <w:t>E. 8</w:t>
      </w:r>
    </w:p>
    <w:p>
      <w:r>
        <w:t>La décision querellée doit ainsi être confirmée et le recours rejeté.</w:t>
      </w:r>
    </w:p>
    <w:p>
      <w:r>
        <w:rPr>
          <w:b/>
        </w:rPr>
        <w:t>E. 9</w:t>
      </w:r>
    </w:p>
    <w:p>
      <w:r>
        <w:t>La procédure est gratuite (art. 61 let. a LPG).</w:t>
      </w:r>
    </w:p>
    <w:p>
      <w:r>
        <w:t>A/1549/2021 - 9/9 -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