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ATAS/921/2023 vom 29. November 2023</w:t>
      </w:r>
    </w:p>
    <w:p>
      <w:r>
        <w:t>GE Cour de justice, 2023-11-29, FR</w:t>
      </w:r>
    </w:p>
    <w:p>
      <w:r>
        <w:rPr>
          <w:b/>
        </w:rPr>
        <w:t xml:space="preserve">Quelle: </w:t>
      </w:r>
      <w:r>
        <w:t>https://mcp.opencaselaw.ch/entscheid/ge_gerichte_ATAS_921_2023</w:t>
      </w:r>
    </w:p>
    <w:p>
      <w:r>
        <w:t>FR: GE_GERICHTE ATAS/921/2023 du 29 novembre 2023</w:t>
      </w:r>
    </w:p>
    <w:p>
      <w:r>
        <w:t>IT: GE_GERICHTE ATAS/921/2023 del 29 novembre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w:t>
      </w:r>
    </w:p>
    <w:p>
      <w:r>
        <w:rPr>
          <w:b/>
        </w:rPr>
        <w:t>E. 2.2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date a été rendue après l’entrée en vigueur du nouveau droit, celui-ci s’applique si l’éventuel droit à une rente est né postérieurement au 31 décembre 2021, et l’ancien droit s’applique si ce droit est né avant cette date.</w:t>
      </w:r>
    </w:p>
    <w:p>
      <w:r>
        <w:rPr>
          <w:b/>
        </w:rPr>
        <w:t>E. 3</w:t>
      </w:r>
    </w:p>
    <w:p>
      <w:r>
        <w:t>Le délai de recours est de trente jours (art. 56 LPGA; art. 62 al. 1 de la de loi sur la procédure administrative du 12 septembre 1985 [LPA - E 5 10]). Interjeté dans la forme et le délai prévus par la loi, le recours est recevable.</w:t>
      </w:r>
    </w:p>
    <w:p>
      <w:r>
        <w:rPr>
          <w:b/>
        </w:rPr>
        <w:t>E. 4</w:t>
      </w:r>
    </w:p>
    <w:p>
      <w:r>
        <w:t>Le litige porte sur le droit de la recourante aux prestations de l’intimé.</w:t>
      </w:r>
    </w:p>
    <w:p>
      <w:r>
        <w:rPr>
          <w:b/>
        </w:rPr>
        <w:t>E. 5.1</w:t>
      </w:r>
    </w:p>
    <w:p>
      <w:r>
        <w:t>A/651/2022 - 4/7 -</w:t>
      </w:r>
    </w:p>
    <w:p>
      <w:r>
        <w:rPr>
          <w:b/>
        </w:rPr>
        <w:t>E. 5.1.1</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ATF 130 V 71 consid. 3.2 et les références; cf. arrêt du Tribunal fédéral 9C_899/2015 du 4 mars 2016 consid. 4.1 et les références).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A/651/2022 - 5/7 -</w:t>
      </w:r>
    </w:p>
    <w:p>
      <w:r>
        <w:rPr>
          <w:b/>
        </w:rPr>
        <w:t>E. 5.2</w:t>
      </w:r>
    </w:p>
    <w:p>
      <w:r>
        <w:t>À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En vertu de l’art. 28b LAI, en vigueur dès le 1er janvier 2022, la quotité de la rente est fixée en pourcentage d’une rente entière (al. 1). Pour un taux d’invalidité compris entre 50 et 69%, la quotité de la rente correspond au taux d’invalidité (al. 2).</w:t>
      </w:r>
    </w:p>
    <w:p>
      <w:r>
        <w:rPr>
          <w:b/>
        </w:rPr>
        <w:t>E. 5.3</w:t>
      </w:r>
    </w:p>
    <w:p>
      <w:r>
        <w:t>Lorsque les revenus avec et sans invalidité sont basés sur la même tabelle statistique, il n'est pas nécessaire de les chiffrer précisément, dans la mesure où le taux d'invalidité se confond avec le taux d'incapacité de travail.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 du Tribunal fédéral 9C_842/2018 du 7 mars 2019 consid. 5.1 et les références).</w:t>
      </w:r>
    </w:p>
    <w:p>
      <w:r>
        <w:rPr>
          <w:b/>
        </w:rPr>
        <w:t>E. 6</w:t>
      </w:r>
    </w:p>
    <w:p>
      <w:r>
        <w:t>En l’espèce, les parties reconnaissent une valeur probante à l’expertise judiciaire. Il convient en conséquence de retenir que l’état de santé de la recourante s’est aggravé dès juin 2021, avec une capacité de travail de 50% dans une activité adaptée à ses limitations. On se trouve dans le cadre d’une nouvelle demande de rente du 5 février 2021, formée suite à une décision de refus de prestations de l’intimé du 17 mars 2020. En conséquence, le droit à la rente ne peut naître qu’un an après le début de l’incapacité de travail durable, soit dès juin 2022, étant relevé que la demande de rente a été déposée en temps utile, plus de six mois avant juin 2022. Il en résulte que ce sont les dispositions de la LAI entrées en vigueur dès le 1er janvier 2022, qui s’appliquent pour établir le droit à la rente de la recourante. Dans une note du 17 janvier 2019 en lien avec la précédente demande de prestations de la recourante, l’intimé avait retenu un statut d’active et déterminé son degré d’invalidité en tenant compte pour les revenus avec et sans invalidité du même salaire statistique de l’Enquête suisse sur la structure des salaires (ESS) 2016 TA1, tous secteurs confondus (total) pour une activité simple et répétitive de niveau 1, soit CHF 54'784.- pour une activité à plein temps, avec un abattement de 10% sur le revenu avec invalidité. Si l’on s’en tient à ces données qui restent applicables pour déterminer le nouveau taux d’invalidité de la recourante, il y a lieu de retenir, en application de l’art. 28b LAI, que celui-ci est de 55% dès le 1er juin 2022, ce qui lui ouvre le droit à une rente du même taux.</w:t>
      </w:r>
    </w:p>
    <w:p>
      <w:r>
        <w:t>A/651/2022 - 6/7 -</w:t>
      </w:r>
    </w:p>
    <w:p>
      <w:r>
        <w:rPr>
          <w:b/>
        </w:rPr>
        <w:t>E. 7</w:t>
      </w:r>
    </w:p>
    <w:p>
      <w:r>
        <w:t>Bien que le taux d’invalidité de la recourante dans la sphère professionnelle soit de plus de 20%, elle ne peut se voir reconnaître un droit à un reclassement, au sens de l’art. 17 LAI, dès lors qu’elle était sans formation, outre une maturité commerciale, avant la survenance de l’invalidité et qu’elle ne peut prétendre à une formation d’un niveau supérieur à celui de son ancienne activité. Il ne ressort pas des pièces versées au dossier que la recourante rencontrerait de réelles difficultés pour retrouver une activité lucrative adaptée à ses limitations. Le Tribunal fédéral a considéré, en présence de limitations fonctionnelles, que lorsque le marché du travail offre un éventail suffisamment large d’activités légères, dont un nombre significatif sont adaptées à l’état de santé de la personne assurée et accessibles sans formation particulière, il n’existe guère d’obstacle à l’exercice d’un emploi adapté, de sorte que l’octroi d’une mesure d’orientation professionnelle apparaît superflu (arrêt du Tribunal fédéral 9C_534/2010 du</w:t>
      </w:r>
    </w:p>
    <w:p>
      <w:r>
        <w:rPr>
          <w:b/>
        </w:rPr>
        <w:t>E. 10</w:t>
      </w:r>
    </w:p>
    <w:p>
      <w:r>
        <w:t>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 chômage. Ainsi, la recourante ne peut se voir octroyer une mesure d’orientation professionnelle en vertu de l’art. 15 LAI. Le droit à une aide au placement, au sens de l’art. 18 LAI, doit également lui être dénié, car elle n’est pas entravée par les limitations liées à son état de santé dans ses démarches pour retrouver un emploi. 8. Au vu de ce qui précède, le recours sera partiellement admis et la décision du 24 janvier 2022 sera annulée. La recourante obtenant partiellement gain de cause, une indemnité de CHF 2'500.- lui sera accordée à titre de participation à ses frais et dépens (art. 61 let. g LPGA; art. 6 du règlement sur les frais, émoluments et indemnités en matière administrative du 30 juillet 1986 [RFPA - E 5 10.03]). Un émolument de CHF 200.- sera en outre mis à la charge de l’intimé (art. 69 al. 1bis LAI). Les frais de l’expertise judiciaire seront laissés à la charge de l’État, l’intimé n’ayant pas procédé à une instruction présentant des lacunes ou des insuffisances caractérisées (ATF 137 V 210 consid. 4.4.2).</w:t>
      </w:r>
    </w:p>
    <w:p>
      <w:r>
        <w:t>A/651/2022 - 7/7 -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