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ATAS/921/2019 vom 9. Oktober 2019</w:t>
      </w:r>
    </w:p>
    <w:p>
      <w:r>
        <w:t>GE Cour de justice, 2019-10-09, FR</w:t>
      </w:r>
    </w:p>
    <w:p>
      <w:r>
        <w:rPr>
          <w:b/>
        </w:rPr>
        <w:t xml:space="preserve">Quelle: </w:t>
      </w:r>
      <w:r>
        <w:t>https://mcp.opencaselaw.ch/entscheid/ge_gerichte_ATAS_921_2019</w:t>
      </w:r>
    </w:p>
    <w:p>
      <w:r>
        <w:t>FR: GE_GERICHTE ATAS/921/2019 du 9 octobre 2019</w:t>
      </w:r>
    </w:p>
    <w:p>
      <w:r>
        <w:t>IT: GE_GERICHTE ATAS/921/2019 del 9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w:t>
      </w:r>
    </w:p>
    <w:p>
      <w:r>
        <w:t>A/203/2019 - 10/14 - forme et le délai prévus par la loi, le recours est recevable (art. 56 ss LPGA et 62 ss LPA).</w:t>
      </w:r>
    </w:p>
    <w:p>
      <w:r>
        <w:rPr>
          <w:b/>
        </w:rPr>
        <w:t>E. 3</w:t>
      </w:r>
    </w:p>
    <w:p>
      <w:r>
        <w:t>Le litige porte sur le droit de la recourante aux prestations de l’intimé.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A/203/2019 - 11/14 -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A/203/2019 - 12/14 -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9</w:t>
      </w:r>
    </w:p>
    <w:p>
      <w:r>
        <w:t>En l’espèce, l’intimé a rendu son projet de décision du 14 septembre 2018 et la décision querellée en se fondant principalement sur un avis établi par le Dr E______, du SMR, le 10 septembre 2018, qui retenait que la recourante pouvait reprendre un travail adapté à ses limitations fonctionnelles d’épargne du bras droit depuis septembre 2017 à 100%, sur la base des rapports établis le 2 juin 2017 par la Dresse C______ et le 5 juillet 2018 par la Dresse D______. Dans son rapport du 2 juin 2017, la Dresse C______ retenait une capacité de travail exigible dans l’activité habituelle de 0% et considérait qu’on pouvait s’attendre à la</w:t>
      </w:r>
    </w:p>
    <w:p>
      <w:r>
        <w:t>A/203/2019 - 13/14 - reprise d’une activité professionnelle à 50% dès septembre 2017. Dans son rapport du 5 juillet 2018, la Dresse D______ indiquait que l’état de santé de l’assurée était toujours stable, qu’un retour au travail n’était pas envisageable avant quelques mois et que sa capacité de travail était toujours de 0%. Sur la base des rapports médicaux précités, le Dr E______ ne pouvait pas retenir une capacité de travail de la recourante de 100% dans une activité adaptée dès le mois de septembre 2017, étant relevé qu’il a pris cette conclusion sur la base du dossier de la recourante, sans examiner ni entendre cette dernière et que son rapport est peu motivé et n’explique pas pour quels motifs il s’éloignait de l’appréciation des médecins traitants de la recourante. Le rapport du SMR ne répond ainsi pas aux réquisits pour se voir reconnaître une pleine valeur probante. La décision querellée étant fondée sur des conclusions du SMR non convaincantes, elle doit être annulée et la cause renvoyée à l’intimé pour instruction complémentaire afin de déterminer clairement la capacité de travail de la recourante, en particulier dans une activité adaptée.</w:t>
      </w:r>
    </w:p>
    <w:p>
      <w:r>
        <w:rPr>
          <w:b/>
        </w:rPr>
        <w:t>E. 10</w:t>
      </w:r>
    </w:p>
    <w:p>
      <w:r>
        <w:t>Il ne sera pas alloué d’indemnité de procédure à la recourante, qui n'est pas assistée d'un conseil et qui n’a pas fait valoir de frais engendrés par la procédure (art. 61 let. g LPGA).</w:t>
      </w:r>
    </w:p>
    <w:p>
      <w:r>
        <w:rPr>
          <w:b/>
        </w:rPr>
        <w:t>E. 11</w:t>
      </w:r>
    </w:p>
    <w:p>
      <w:r>
        <w:t>Un émolument de CHF 500.- sera mis à la charge de l'intimé (art. 69 al. 1bis LAI).</w:t>
      </w:r>
    </w:p>
    <w:p>
      <w:r>
        <w:t>A/203/2019 - 14/14 -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