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ATAS/921/2014 vom 20. August 2014</w:t>
      </w:r>
    </w:p>
    <w:p>
      <w:r>
        <w:t>GE Cour de justice, 2014-08-20, FR</w:t>
      </w:r>
    </w:p>
    <w:p>
      <w:r>
        <w:rPr>
          <w:b/>
        </w:rPr>
        <w:t xml:space="preserve">Quelle: </w:t>
      </w:r>
      <w:r>
        <w:t>https://mcp.opencaselaw.ch/entscheid/ge_gerichte_ATAS_921_2014</w:t>
      </w:r>
    </w:p>
    <w:p>
      <w:r>
        <w:t>FR: GE_GERICHTE ATAS/921/2014 du 20 août 2014</w:t>
      </w:r>
    </w:p>
    <w:p>
      <w:r>
        <w:t>IT: GE_GERICHTE ATAS/921/2014 del 20 agosto 2014</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Interjeté dans le délai et la forme prescrits par la loi, le recours est recevable (art. 43 LPCC ; art. 89B de la loi sur la procédure administrative du 12 septembre 1985 – LPA ; RS E 5 10).</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w:t>
      </w:r>
    </w:p>
    <w:p>
      <w:r>
        <w:t>A/849/2014 - 4/5 -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4</w:t>
      </w:r>
    </w:p>
    <w:p>
      <w:r>
        <w:t>En l’espèce, l'objet du litige - tel qu'il a été défini par la décision litigieuse - porte sur le remboursement des prestations complémentaires familiales versées par l'intimé à la recourante, singulièrement sur le montant du remboursement. Cela étant, au vu des conclusions de la recourante, il convient de constater que le calcul des prestations et le principe du remboursement - bien qu'ils soient visés par la décision administrative et fassent ainsi partie de l'objet de la contestation et du litige dans la procédure de recours subséquente - ne sont pas discutés, de sorte qu'ils n'ont pas à être examinés plus avant ici (cf. ATF 125 V 413; cf. également ULRICH MEYER/ISABEL VON ZWEHL, L'objet du litige en procédure de droit administratif fédéral, in Mélanges Pierre Moor, 2005, p. 441 s). La recourante invoque en effet une situation financière difficile qui ne lui permet pas de rembourser le montant réclamé. Selon l’art. 24 al. 1 2ème phrase LPCC, la restitution ne peut être exigée lorsque l’intéressé était de bonne foi et qu’elle le mettrait dans une situation difficile. Il s’agit d’une procédure distincte, qui doit faire l’objet d’une décision séparée. Dès lors que l’intimé ne s’est pas prononcé sur la demande de remise, il convient de lui transmettre le présent recours, comme objet de sa compétence.</w:t>
      </w:r>
    </w:p>
    <w:p>
      <w:r>
        <w:t>A/849/2014 - 5/5 -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