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ATAS/920/2019 vom 9. Oktober 2019</w:t>
      </w:r>
    </w:p>
    <w:p>
      <w:r>
        <w:t>GE Cour de justice, 2019-10-09, FR</w:t>
      </w:r>
    </w:p>
    <w:p>
      <w:r>
        <w:rPr>
          <w:b/>
        </w:rPr>
        <w:t xml:space="preserve">Quelle: </w:t>
      </w:r>
      <w:r>
        <w:t>https://mcp.opencaselaw.ch/entscheid/ge_gerichte_ATAS_920_2019</w:t>
      </w:r>
    </w:p>
    <w:p>
      <w:r>
        <w:t>FR: GE_GERICHTE ATAS/920/2019 du 9 octobre 2019</w:t>
      </w:r>
    </w:p>
    <w:p>
      <w:r>
        <w:t>IT: GE_GERICHTE ATAS/920/2019 del 9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 le recours est recevable (art. 60 LPGA et 89B de la loi sur la procédure administrative du 12 septembre 1985; LPA - E 5 10).</w:t>
      </w:r>
    </w:p>
    <w:p>
      <w:r>
        <w:rPr>
          <w:b/>
        </w:rPr>
        <w:t>E. 3</w:t>
      </w:r>
    </w:p>
    <w:p>
      <w:r>
        <w:t>L’objet du litige porte sur le bien-fondé de la demande de restitution des prestations de l’intimé versées d’octobre 2015 au 31 mars 2018.</w:t>
      </w:r>
    </w:p>
    <w:p>
      <w:r>
        <w:rPr>
          <w:b/>
        </w:rPr>
        <w:t>E. 4</w:t>
      </w:r>
    </w:p>
    <w:p>
      <w:r>
        <w:t>a. Selon l'art. 25 al. 1 phr. 1 LPGA,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En vertu de l'art. 25 al. 2 phr. 1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w:t>
      </w:r>
    </w:p>
    <w:p>
      <w:r>
        <w:t>A/4088/2018 - 9/13 -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Dans un arrêt ATAS/243/2015 du 1er avril 2015, la chambre de céans a rappelé que la caisse n’était pas partie intimée à la procédure (art. 53 ss LAI et art. 40 ss RAI) et que le pouvoir décisionnel en matière de rente résidait uniquement auprès des offices AI (ATF 127 V 213 consid. 1c/bb). Ne revenaient pour l'essentiel aux caisses de compensation que les tâches décrites à l'art. 60 al. 1 LAI (ATF 123 V 182 consid. 5a). Cela valait également s'agissant de la compétence de reconsidérer</w:t>
      </w:r>
    </w:p>
    <w:p>
      <w:r>
        <w:t>A/4088/2018 - 10/13 - une décision d'octroi de prestations, dès lors qu'il y avait lieu d'admettre, en l'absence de disposition légale spéciale en matière de reconsidération, que seule l'autorité compétente pour allouer des prestations pouvait supprimer celles-ci par voie de la reconsidération. Par conséquent, seul l’OAI était compétent pour notifier une décision de restitution suite à une décision de suppression de la rente (cf. art. 57 al. 1 let. g et 57a LAI). La caisse quant à elle devait calculer le montant de la restitution (art. 60 al. 1 let. b LAI). Il s’ensuivait que l’OAI ne pouvait se prévaloir de la connaissance du fait ou non par la caisse de compensation. L’OAI soutenait en l’occurrence n’avoir eu connaissance qu’en date du 9 octobre 2013 du fait que le recourant continuait à percevoir la rente, lors d’un entretien téléphonique avec la caisse chargée du versement de la rente d’invalidité du recourant ainsi que des rentes complémentaires pour enfants. Cet argument ne résistait pas à l’examen. En effet, l’intimé avait rendu, le 26 octobre 2006, une décision de suppression de la rente avec effet rétroactif, en raison de la violation de l’obligation de renseigner du recourant, tout en retirant l’effet suspensif à un éventuel recours. Cette circonstance excluait par conséquent tout versement de rente postérieurement à cette date. La décision précitée étant entrée en force, il appartenait à l’intimé de rendre une décision fixant le montant à restituer, ce qu’il n’avait pas fait. Dans ces circonstances, l’OAI était réputé avoir eu connaissance d’emblée que tout versement de rente intervenu par la suite serait clairement indu, de sorte que le report du point de départ du délai de péremption d’un an de l’art. 25 al. 1 LPGA ne pouvait entrer en ligne de compte (voir en ce sens ATF 122 V 270 consid. 5b/bb; ATF du 25 juillet 2007 H 168/06; ATAS/869/2014). De surcroît, il convenait de constater que l’intimé avait eu connaissance à réitérées reprises du fait que le recourant continuait de percevoir une rente : le 23 avril 2008 (décisions de rentes complémentaires), le 7 mai 2010 (courrier du recourant), les 24 mars 2011, 14 octobre 2011 et le 15 mars 2012 au plus tard. Force était ainsi de constater qu’en requérant la restitution des rentes indûment versées le 4 septembre 2014, l’intimé avait agi tardivement. Dans un arrêt ATAS/646/2019 du 9 juillet 2019, la chambre de céans a considéré que dans la mesure où la recourante avait contesté les divers projets de décision ainsi que les décisions successives rendues par l’intimé, la décision qui lui allouait, de manière définitive, la rente d’invalidité était l’arrêt de la chambre de céans du 21 mars 2017, qui n’avait pas été déféré au Tribunal fédéral. Ainsi, les rentes d’invalidité versées dans l’intervalle devaient être considérées comme des avances au sens de l’art. 19 al. 4 LPGA (cf. DR, chiffre 9502), sans avoir fait l'objet d'une décision passée en force de chose décidée. Ce n’était donc qu’à la suite de l’entrée en force de l’arrêt précité reconnaissant un taux d’invalidité donnant droit à une rente et portant effet rétroactif que la caisse de compensation, respectivement l’OAI, avait pu mettre à jour le dossier de la recourante. Partant, tant que cet arrêt n’était pas entré en force, ni la caisse de compensation ni l’intimé ne disposaient d’un titre juridique pour exiger la restitution des prestations allouées, qui s’étaient avérées indues. Dans ce cas de figure, en application de la jurisprudence (ATF 130</w:t>
      </w:r>
    </w:p>
    <w:p>
      <w:r>
        <w:t>A/4088/2018 - 11/13 - V 505 consid. 3), le point de départ du délai d’un et de cinq ans correspondait à l’entrée en force de l'arrêt du 21 mars 2017, soit à l'échéance du délai de recours de trente jours suivant sa notification (art. 100 al. 1 de la loi sur le Tribunal fédéral du 17 juin 2005 (LTF - RS 173.110).</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(ATF 138 V 74 consid. 7).</w:t>
      </w:r>
    </w:p>
    <w:p>
      <w:r>
        <w:rPr>
          <w:b/>
        </w:rPr>
        <w:t>E. 7</w:t>
      </w:r>
    </w:p>
    <w:p>
      <w:r>
        <w:t>avril 2017, date à laquelle il a enregistré celle-ci dans son dossier, sans s’apercevoir non plus de l’erreur. Ce n’est que lors de l’audience du 9 mars 2018 devant la chambre de céans que la représentante de l’intimé en a pris conscience. Dans la mesure où la décision – sur la base de laquelle la rente indue a été versée – a été contestée par le recourant, elle n’est entrée en force que suite à l’arrêt de la chambre de céans du 2 mai 2018 qui la confirmait, dès lors que cet arrêt n’a pas été contesté par le recourant. Ce n’est qu’à la suite de l’entrée en force de l’arrêt précité, qui confirmait que le recourant n’avait plus droit à une rente d’invalidité après son reclassement terminé en 2015, que l’OAI a pu mettre à jour le dossier du recourant. Conformément à la jurisprudence de la chambre de céans précitée (ATAS/646/2019 du 9 juillet 2019), les rentes versées avant l’entrée en force de la décision doivent être considérées comme des avances, au sens de l’art. 19 al. 4 LPGA. Dans ce cas de figure, en application de la jurisprudence, le point de départ du délai d’un an et de cinq ans correspond à l’entrée en force de l'arrêt rendu le 2 mai 2018 par la chambre de céans, soit à l'échéance du délai de recours de trente jours suivant sa notification (art. 54 al. 1 let. a LPGA). En demandant, le 19 octobre 2018, la restitution des prestations versées de manière indue du 1er octobre 2015 au 31 mars 2018, l’intimé a agi dans le délai d’un an prévu par l’art. 25 al. 2 phr. 1 LPGA.</w:t>
      </w:r>
    </w:p>
    <w:p>
      <w:r>
        <w:rPr>
          <w:b/>
        </w:rPr>
        <w:t>E. 8</w:t>
      </w:r>
    </w:p>
    <w:p>
      <w:r>
        <w:t>La décision querellée était donc fondée et le recours doit en conséquence être rejeté.</w:t>
      </w:r>
    </w:p>
    <w:p>
      <w:r>
        <w:rPr>
          <w:b/>
        </w:rPr>
        <w:t>E. 9</w:t>
      </w:r>
    </w:p>
    <w:p>
      <w:r>
        <w:t>Au vu du sort du recours, un émolument de CHF 200.- sera mis à la charge du recourant (art. 69 al. 1bis LAI).</w:t>
      </w:r>
    </w:p>
    <w:p>
      <w:r>
        <w:t>A/4088/2018 - 13/13 -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