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ATAS/920/2018 vom 11. Oktober 2018</w:t>
      </w:r>
    </w:p>
    <w:p>
      <w:r>
        <w:t>GE Cour de justice, 2018-10-11, FR</w:t>
      </w:r>
    </w:p>
    <w:p>
      <w:r>
        <w:rPr>
          <w:b/>
        </w:rPr>
        <w:t xml:space="preserve">Quelle: </w:t>
      </w:r>
      <w:r>
        <w:t>https://mcp.opencaselaw.ch/entscheid/ge_gerichte_ATAS_920_2018</w:t>
      </w:r>
    </w:p>
    <w:p>
      <w:r>
        <w:t>FR: GE_GERICHTE ATAS/920/2018 du 11 octobre 2018</w:t>
      </w:r>
    </w:p>
    <w:p>
      <w:r>
        <w:t>IT: GE_GERICHTE ATAS/920/2018 del 11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de la recourante s’est aggravé depuis la dernière décision de l’intimé du 16 mai 2011, au point de lui ouvrir le droit à une rente d’invalidité ou à des mesures d’ordre professionnel.</w:t>
      </w:r>
    </w:p>
    <w:p>
      <w:r>
        <w:rPr>
          <w:b/>
        </w:rPr>
        <w:t>E. 4</w:t>
      </w:r>
    </w:p>
    <w:p>
      <w:r>
        <w:t>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w:t>
      </w:r>
    </w:p>
    <w:p>
      <w:r>
        <w:rPr>
          <w:b/>
        </w:rPr>
        <w:t>E. 5</w:t>
      </w:r>
    </w:p>
    <w:p>
      <w:r>
        <w:t>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t>A/2762/2017 - 12/22 -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8</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w:t>
      </w:r>
    </w:p>
    <w:p>
      <w:r>
        <w:t>A/2762/2017 - 13/22 -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9</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10</w:t>
      </w:r>
    </w:p>
    <w:p>
      <w:r>
        <w:t>a. Pour pouvoir calculer le degré d’invalidité, l’administration (ou le juge, s’il y a eu un recours) a besoin de documents qu’un médecin, éventuellement d’autres</w:t>
      </w:r>
    </w:p>
    <w:p>
      <w:r>
        <w:t>A/2762/2017 - 14/22 -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A/2762/2017 - 15/22 -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Se pose en premier lieu la question du statut de la recourante.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Dès lors que l'examen du Dr H______ présente une pleine valeur probante et en l'absence d'éléments médicaux nouveaux allant dans le sens d'une aggravation depuis cet examen, la chambre de céans ne juge pas nécessaire de faire évaluer l'état de santé de la recourante par un rhumatologue.</w:t>
      </w:r>
    </w:p>
    <w:p>
      <w:r>
        <w:rPr>
          <w:b/>
        </w:rPr>
        <w:t>E. 18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19</w:t>
      </w:r>
    </w:p>
    <w:p>
      <w:r>
        <w:t>Dans la mesure où la recourante ne présente pas une aggravation de son état de santé avec répercussion sur sa capacité de travail, il n’y a pas lieu de procéder à</w:t>
      </w:r>
    </w:p>
    <w:p>
      <w:r>
        <w:t>A/2762/2017 - 19/22 - nouveau au calcul de la perte de gain dans la sphère de l'activité lucrative, la capacité de travail étant restée identique. Par ailleurs, les limitations fonctionnelles retenues en 2010 étaient les mêmes que celles retenues lors de l’examen rhumatologique en avril 2016. En effet, la Dresse B______ (rapport du 16 août 2010), ainsi que le SMR, dans leurs avis des 14 décembre 2010 et 8 février 2011, retiennent déjà des restrictions pour le port de charges de plus de 5 kg, les positions statiques, les positions en porte-à-faux, flexions extensions et rotations répétées du rachis. Cela correspond aux limitations mentionnées par le Dr H______.</w:t>
      </w:r>
    </w:p>
    <w:p>
      <w:r>
        <w:rPr>
          <w:b/>
        </w:rPr>
        <w:t>E. 20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w:t>
      </w:r>
    </w:p>
    <w:p>
      <w:r>
        <w:t>A/2762/2017 - 20/22 - inexactitude dans les résultats de l’enquête (ATF 129 V 67 consid. 2.3.2 non publié au Recueil officiel mais dans VSI 2003 p. 221; arrêt du Tribunal fédéral des assurances I 733/06 du 16 juillet 2007).</w:t>
      </w:r>
    </w:p>
    <w:p>
      <w:r>
        <w:rPr>
          <w:b/>
        </w:rPr>
        <w:t>E. 21</w:t>
      </w:r>
    </w:p>
    <w:p>
      <w:r>
        <w:t>En l'occurrence, l'enquête économique sur le ménage conclut à des empêchements de 22,5% et, avec l'aide des tiers, de 11%. S'agissant de la valeur probante de l'enquête sur le ménage, il n'est effectivement pas établi qu'elle ait été réalisée au domicile de la recourante. Néanmoins, ce rapport contient les indications de celle-ci, paraît plausible, est motivé et détaillé quant aux différentes limitations. Par ailleurs, en ce qu'elle fait valoir que ses empêchements dans le ménage devraient être réévalués, son état de santé s’étant aggravé depuis 2011, la recourante n’indique pas en quoi l’enquête économique sur le ménage ne serait aujourd’hui plus d’actualité. Au demeurant, dans la mesure où les limitations fonctionnelles de la recourante sont globalement les mêmes aujourd’hui qu’en 2011, il ne paraît pas plausible que les empêchements dans le ménage aient augmenté. Certes, il n'est pas établi que la sœur de la recourante qui assumait beaucoup de tâches de ménage en 2011, habite toujours avec la famille. Toutefois, dès lors que l’enfant de la recourante avait seize ans au moment de la décision querellée, une aide conséquente de sa part dans le ménage peut être attendue. La recourante n'apportant aucun élément permettant de mettre en doute l'exactitude de l'enquête économique sur le ménage ni des limitations supplémentaires par rapport à 2011, la chambre de céans n'a aucune raison de s'écarter de ce rapport. Au demeurant, dans la mesure où la recourante ne subit aucune perte de gain dans la sphère lucrative, elle devrait, en application des dispositions légales plus favorables entrées en vigueur le 1er janvier 2018, présenter des empêchements d'au moins 80% dans le ménage, malgré l'aide exigible des autres membres du ménage, pour pouvoir bénéficier d'un quart de rente.</w:t>
      </w:r>
    </w:p>
    <w:p>
      <w:r>
        <w:rPr>
          <w:b/>
        </w:rPr>
        <w:t>E. 22</w:t>
      </w:r>
    </w:p>
    <w:p>
      <w:r>
        <w:t>Il résulte de ce qui précède que le taux d’invalidité global de la recourante ne s'est pas modifié.</w:t>
      </w:r>
    </w:p>
    <w:p>
      <w:r>
        <w:rPr>
          <w:b/>
        </w:rPr>
        <w:t>E. 23</w:t>
      </w:r>
    </w:p>
    <w:p>
      <w:r>
        <w:t>La recourante réclame également des mesures d’observation professionnelle. Ces mesures lui ayant été refusées par décision du 16 mai 2011, une révision de cette décision n’est possible qu’en cas de changement du degré d’invalidité ou des circonstances. Un tel changement n’est pas démontré. Cela étant les conditions pour une révision concernant le refus de mesures d’ordre professionnel ne sont pas non plus réalisées.</w:t>
      </w:r>
    </w:p>
    <w:p>
      <w:r>
        <w:rPr>
          <w:b/>
        </w:rPr>
        <w:t>E. 24</w:t>
      </w:r>
    </w:p>
    <w:p>
      <w:r>
        <w:t>Par conséquent, le recours sera rejeté.</w:t>
      </w:r>
    </w:p>
    <w:p>
      <w:r>
        <w:rPr>
          <w:b/>
        </w:rPr>
        <w:t>E. 25</w:t>
      </w:r>
    </w:p>
    <w:p>
      <w:r>
        <w:t>Dans la mesure où la recourante succombe, elle sera condamnée à un émolument de justice, fixé au minimum légal de CHF 200.-.</w:t>
      </w:r>
    </w:p>
    <w:p>
      <w:r>
        <w:t>A/2762/2017 - 21/22 - ***</w:t>
      </w:r>
    </w:p>
    <w:p>
      <w:r>
        <w:t>A/2762/2017 - 22/22 -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