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ATAS/920/2010 vom 13. September 2010</w:t>
      </w:r>
    </w:p>
    <w:p>
      <w:r>
        <w:t>GE Cour de justice, 2010-09-13, FR</w:t>
      </w:r>
    </w:p>
    <w:p>
      <w:r>
        <w:rPr>
          <w:b/>
        </w:rPr>
        <w:t xml:space="preserve">Quelle: </w:t>
      </w:r>
      <w:r>
        <w:t>https://mcp.opencaselaw.ch/entscheid/ge_gerichte_ATAS_920_2010</w:t>
      </w:r>
    </w:p>
    <w:p>
      <w:r>
        <w:t>FR: GE_GERICHTE ATAS/920/2010 du 13 septembre 2010</w:t>
      </w:r>
    </w:p>
    <w:p>
      <w:r>
        <w:t>IT: GE_GERICHTE ATAS/920/2010 del 13 settembre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t>A/2028/2010 - 6/8 - En l’espèce, la décision litigieuse du 11 mai 2010, est postérieure à l’entrée en vigueur de la LPGA ainsi qu’à l’entrée en vigueur, le 1er janvier 2004, des modifications de la LAI du 21 mars 2003 (4ème révision). Du point de vue matériel, la restitution des prestations indûment versées de janvier 2005 à février 2008 ainsi que la remise de l’obligation de les restituer doivent être examinées au regard des nouvelles normes de la LPGA et des modifications de la LAI consécutives à la 4ème révision de cette loi (ATF 130 V 445 et les références, voir également ATF 130 V 329). Les dispositions de la LAI dans sa teneur en vigueur dès le 1er janvier 2008 (5ème révision) ne seront prises en considération que dans la mesure de leur pertinence. Enfin, la loi fédérale du 16 décembre 2005 modifiant la LAI est entrée en vigueur le 1er juillet 2006 (RO 2006 2003), apportant des modifications qui concernent notamment la procédure conduite devant le Tribunal cantonal des assurances (art. 56, 58 et 60 let. a LPGA). Le présent cas est soumis au nouveau droit, dès lors que le recours a été formé après le 1er juillet 2006 (ch. II let. c des dispositions transitoires relative à la modification du 16 décembre 2005).</w:t>
      </w:r>
    </w:p>
    <w:p>
      <w:r>
        <w:rPr>
          <w:b/>
        </w:rPr>
        <w:t>E. 3</w:t>
      </w:r>
    </w:p>
    <w:p>
      <w:r>
        <w:t>Il sera tout d’abord constaté que la décision litigieuse, portant sur la restitution et la remise, n’avait pas besoin d’être précédée d’un préavis au sens de l’art. 57a al. 1 LAI dans sa teneur dès le 1er juillet 2006, de sorte que la recourante pouvait recourir auprès du Tribunal de céans contre ladite décision.</w:t>
      </w:r>
    </w:p>
    <w:p>
      <w:r>
        <w:rPr>
          <w:b/>
        </w:rPr>
        <w:t>E. 4</w:t>
      </w:r>
    </w:p>
    <w:p>
      <w:r>
        <w:t>Interjeté dans les forme et délai prévus par la loi, le présent recours est recevable (art. 56 à 61 LPGA).</w:t>
      </w:r>
    </w:p>
    <w:p>
      <w:r>
        <w:rPr>
          <w:b/>
        </w:rPr>
        <w:t>E. 5</w:t>
      </w:r>
    </w:p>
    <w:p>
      <w:r>
        <w:t>Il y a tout d’abord lieu de déterminer l’objet du litige.</w:t>
      </w:r>
    </w:p>
    <w:p>
      <w:r>
        <w:rPr>
          <w:b/>
        </w:rPr>
        <w:t>E. 6</w:t>
      </w:r>
    </w:p>
    <w:p>
      <w:r>
        <w:t>Conformément à l’art. 3 de l’ordonnance du 11 septembre 2002 sur la partie générale du droit des assurances sociales (OPGA ; RS 830.11), l’étendue de l’obligation de restituer est fixée par une décision (al. 1er), dans laquelle l’assureur indique la possibilité d’une remise (al. 2). L’assureur est tenu de renoncer à la restitution lorsqu’il est manifeste que les conditions d’une remise sont réunies (al. 3). L’art. 4 OPGA dispose que la demande de remise doit être présentée par écrit. Elle doit être motivée, accompagnée des pièces nécessaires et déposée au plus tard 30 jours à compter de l’entrée en force de la décision de restitution (al. 4). La remise fait l’objet d’une décision (al. 5). Le délai prévu par l’art. 4 al. 4 OPGA est 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t>A/2028/2010 - 7/8 -</w:t>
      </w:r>
    </w:p>
    <w:p>
      <w:r>
        <w:rPr>
          <w:b/>
        </w:rPr>
        <w:t>E. 7</w:t>
      </w:r>
    </w:p>
    <w:p>
      <w:r>
        <w:t>En l’occurrence, dans la décision litigieuse, l’intimé s’est prononcé tant sur la restitution de prestations perçues à tort par la recourante que sur le refus de la remise de l’obligation de restituer ces prestations. Il propose que la cause lui soit renvoyée pour examiner la condition de la situation difficile, celle de la bonne foi devant être finalement admise. Force est de constater que l'intimé entend procéder selon l'art. 3 al. 3 OPGA et examiner les conditions de la remise dans le cadre de la décision de restitution, de sorte qu'il se justifie d'admettre partiellement le recours, d'annuler la décision litigieuse et de renvoyer la cause à l'intimé pour nouvelle décision.</w:t>
      </w:r>
    </w:p>
    <w:p>
      <w:r>
        <w:t>A/2028/2010 - 8/8 -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