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ATAS/91/2016 vom 2. Februar 2016</w:t>
      </w:r>
    </w:p>
    <w:p>
      <w:r>
        <w:t>GE Cour de justice, 2016-02-02, FR</w:t>
      </w:r>
    </w:p>
    <w:p>
      <w:r>
        <w:rPr>
          <w:b/>
        </w:rPr>
        <w:t xml:space="preserve">Quelle: </w:t>
      </w:r>
      <w:r>
        <w:t>https://mcp.opencaselaw.ch/entscheid/ge_gerichte_ATAS_91_2016</w:t>
      </w:r>
    </w:p>
    <w:p>
      <w:r>
        <w:t>FR: GE_GERICHTE ATAS/91/2016 du 2 février 2016</w:t>
      </w:r>
    </w:p>
    <w:p>
      <w:r>
        <w:t>IT: GE_GERICHTE ATAS/91/2016 del 2 febbraio 2016</w:t>
      </w:r>
    </w:p>
    <w:p>
      <w:pPr>
        <w:pStyle w:val="Heading2"/>
      </w:pPr>
      <w:r>
        <w:t>Erwägungen</w:t>
      </w:r>
    </w:p>
    <w:p>
      <w:r>
        <w:rPr>
          <w:b/>
        </w:rPr>
        <w:t>E. 7</w:t>
      </w:r>
    </w:p>
    <w:p>
      <w:r>
        <w:t>Par décision du 13 octobre 2015, l’assureur a rejeté l’opposition. Il considère que l’événement du 12 janvier 2014 n’est pas un accident, le caractère extérieur, de même que le caractère extraordinaire, faisant défaut. Il annonce qu’il ne demandera toutefois pas, selon le principe ex nunc et pro futuro, le remboursement des deux factures déjà prises en charge, soit celle du Dr C______ pour un montant de CHF 309.35 (facture du 2 mai 2014) et celle du Dr D______ pour un montant de CHF 326.30 (traitement du 20 mars 2014). Il a par ailleurs précisé qu’une transaction avait été tentée mais qu’elle avait échoué.</w:t>
      </w:r>
    </w:p>
    <w:p>
      <w:r>
        <w:rPr>
          <w:b/>
        </w:rPr>
        <w:t>E. 8</w:t>
      </w:r>
    </w:p>
    <w:p>
      <w:r>
        <w:t>L’assurée, représentée par son mandataire, a interjeté recours le 16 novembre 2015. Elle conclut à ce que la décision sur opposition du 13 octobre 2015 soit annulée et à ce qu’il soit dit que l’assureur doit prendre en charge les frais du traitement médical jusqu’à son terme, soit jusqu’au 15 septembre 2014 inclus.</w:t>
      </w:r>
    </w:p>
    <w:p>
      <w:r>
        <w:rPr>
          <w:b/>
        </w:rPr>
        <w:t>E. 9</w:t>
      </w:r>
    </w:p>
    <w:p>
      <w:r>
        <w:t>Dans sa réponse du 1er décembre 2015, l’assureur a proposé le rejet du recours.</w:t>
      </w:r>
    </w:p>
    <w:p>
      <w:r>
        <w:rPr>
          <w:b/>
        </w:rPr>
        <w:t>E. 10</w:t>
      </w:r>
    </w:p>
    <w:p>
      <w:r>
        <w:t>Le 6 janvier 2016, l’assurée a indiqué qu’elle n’avait plus d’observation à formuler.</w:t>
      </w:r>
    </w:p>
    <w:p>
      <w:r>
        <w:rPr>
          <w:b/>
        </w:rPr>
        <w:t>E. 11</w:t>
      </w:r>
    </w:p>
    <w:p>
      <w:r>
        <w:t>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A/3996/2015 - 4/10 - 2.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la qualification à apporter à l’événement du 12 janvier 2014 et le droit de l’assureur de refuser de prendre en charge des traitements antérieurs à la décision mais non encore remboursés. Il est à cet égard pris acte de ce que l’assureur a renoncé à réclamer le remboursement des prestations déjà versées.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(arrêt du Tribunal fédéral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t>A/3996/2015 - 5/10 -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6. 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arrest cités). En l'absence de cause extérieure - soit</w:t>
      </w:r>
    </w:p>
    <w:p>
      <w:r>
        <w:t>A/3996/2015 - 6/10 -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 accidents (ATF 129 V 466 consid. 4.2). Seuls les vrais déboîtements d'articulation, soit les luxations, sont pris en compte au sens de l'art. 9 al. 2 let. b OLAA, et non les déboîtements incomplets (subluxations), les torsions ou les distorsions (arrêt du Tribunal fédéral 8C_1019/2009 consid. 5.2).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 arrêt du Tribunal fédéral des assurances U 315/03 du 23 novembre 2004 consid. 2.2). En outre, la cause extérieure peut être discrète et courante (ATF 116 V 145 consid. 2c ; arrêt du Tribunal fédéral des assurances U 362/06 du 4 juillet 2007 consid. 3).</w:t>
      </w:r>
    </w:p>
    <w:p>
      <w:r>
        <w:t>A/3996/2015 - 7/10 -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w:t>
      </w:r>
    </w:p>
    <w:p>
      <w:r>
        <w:rPr>
          <w:b/>
        </w:rPr>
        <w:t>E. 16</w:t>
      </w:r>
    </w:p>
    <w:p>
      <w:r>
        <w:t>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w:t>
      </w:r>
    </w:p>
    <w:p>
      <w:r>
        <w:t>A/3996/2015 - 8/10 - n'existe pas de principe selon lequel l'administration ou le juge devrait statuer, dans le doute, en faveur de l'assuré (ATF 126 V 319 consid. 5a). 8. Il convient encore de rappeler que les explications d'un assuré sur le déroulement d'un fait allégué sont au bénéfice d'une présomption de vraisemblance (arrêt du Tribunal fédéral des assurances U 96/05 du 20 mai 2006 consid. 3.1 ;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 En présence de deux versions différentes au sujet des circonstances d'un accident, il convient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9. Il convient en premier lieu de déterminer si l’événement du 12 janvier 2014 peut être qualifié d’accident au sens de l’art. 4 LPGA, en particulier d’examiner si la condition de facteur extérieur extraordinaire est réalisée. En l’occurrence, l’assurée a insisté sur le fait que son mouvement vers l’arrière pour attraper la ceinture de sécurité avait été mal coordonné, ce qui implique une cause extérieure extraordinaire. Elle se réfère expressément à un arrêt publié in ATF 130 V 117 selon lequel le fait de subir une charge contre la balustrade au cours d'un match de hockey sur glace peut être considéré comme un mouvement non programmé excédant ce que l'on peut objectivement qualifier de normal et habituel ("mouvement non coordonné"), de sorte que l'existence d'un facteur extérieur extraordinaire doit être admise. Rien en l’occurrence dans le déroulement de l’action ne permet pourtant de dire qu’il y a eu un mouvement de réflexe non coordonné tel que celui consistant à subir une charge contre une balustrade. Quand bien même l’assurée a-t-elle lancé son bras vers l’arrière, ce geste ne peut que s’inscrire dans les limites physiologiques normales du corps, sans haut potentiel dommageable. Il n’excède pas le cadre des événements et des situations que l’on peut objectivement qualifier de quotidiens ou d’habituels. Le Dr C______ a par ailleurs répété que l’atteinte subie n’était pas due à un accident, mais à une affection médicale. Compte tenu de ce qui précède, la chambre de céans retiendra que l’événement du 12 janvier 2014 ne peut être qualifié d’accident au sens de l’art. 4 LPGA.</w:t>
      </w:r>
    </w:p>
    <w:p>
      <w:r>
        <w:t>A/3996/2015 - 9/10 - 10. Reste à déterminer si l’assurée a subi une lésion assimilée à un accident et si, le cas échéant, les troubles constatés sont à la charge de l’assureur-accidents. L’assurée a présenté une capsulite rétractile de l’épaule droite. Il ne s’agit pas là d’une lésion assimilée à un accident au sens de l’art. 9 al. 2 OLAA, étant rappelé qu’aucune lésion traumatique n’a été mise en évidence (6C_372/2009, consid. 3.3). Il y a quoi qu’il en soit lieu de rappeler que, selon la jurisprudence, l’existence d’une lésion corporelle assimilée à un accident devrait être niée, faute de facteur dommageable extérieur. Aussi le recours ne peut-il être que rejeté.</w:t>
      </w:r>
    </w:p>
    <w:p>
      <w:r>
        <w:t>A/3996/2015 - 10/10 -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