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ATAS/91/2011 vom 24. Januar 2011</w:t>
      </w:r>
    </w:p>
    <w:p>
      <w:r>
        <w:t>GE Cour de justice, 2011-01-24, FR</w:t>
      </w:r>
    </w:p>
    <w:p>
      <w:r>
        <w:rPr>
          <w:b/>
        </w:rPr>
        <w:t xml:space="preserve">Quelle: </w:t>
      </w:r>
      <w:r>
        <w:t>https://mcp.opencaselaw.ch/entscheid/ge_gerichte_ATAS_91_2011</w:t>
      </w:r>
    </w:p>
    <w:p>
      <w:r>
        <w:t>FR: GE_GERICHTE ATAS/91/2011 du 24 janvier 2011</w:t>
      </w:r>
    </w:p>
    <w:p>
      <w:r>
        <w:t>IT: GE_GERICHTE ATAS/91/2011 del 24 gennaio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en temps utile le recours est à cet égard recevable (art. 60ss LPGA). S'agissant de la motivation du recours, force est de constater qu'elle est suffisante au regard des exigences légales (art. 61 let. b LPGA) de sorte que le recours ne saurait être déclaré irrecevable pour défaut de motivation.</w:t>
      </w:r>
    </w:p>
    <w:p>
      <w:r>
        <w:rPr>
          <w:b/>
        </w:rPr>
        <w:t>E. 3</w:t>
      </w:r>
    </w:p>
    <w:p>
      <w:r>
        <w:t>L'objet du litige porte sur le refus de l'intimé d'entrer en matière sur la nouvelle demande de prestations du recourant, singulièrement de savoir si l'aggravation de l'état de santé du recourant depuis le 16 mai 2008 est plausible.</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w:t>
      </w:r>
    </w:p>
    <w:p>
      <w:r>
        <w:t>A/3625/2010 - 6/9 - invalidité l’incapacité de gain totale ou partielle qui est présumée permanente ou de longue durée (art. 8 al. 1 LPGA).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w:t>
      </w:r>
    </w:p>
    <w:p>
      <w:r>
        <w:t>A/3625/2010 - 7/9 -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De jurisprudence constante, l'administration n'est pas tenue de reconsidérer les décisions; elle en a simplement la faculté et ni l'assuré ni le juge ne peuvent l'y contraindre (ATF 117 V 8).</w:t>
      </w:r>
    </w:p>
    <w:p>
      <w:r>
        <w:rPr>
          <w:b/>
        </w:rPr>
        <w:t>E. 6</w:t>
      </w:r>
    </w:p>
    <w:p>
      <w:r>
        <w:t>a)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(ATF du 22 octobre 2009 9C_67/2009). b)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w:t>
      </w:r>
    </w:p>
    <w:p>
      <w:r>
        <w:t>A/3625/2010 - 8/9 - prononcé de la nouvelle décision (ATF 130 V 343 consid. 3.5 p. 349) (ATF du 30 juin 2009 9C 1012/2008).</w:t>
      </w:r>
    </w:p>
    <w:p>
      <w:r>
        <w:rPr>
          <w:b/>
        </w:rPr>
        <w:t>E. 7</w:t>
      </w:r>
    </w:p>
    <w:p>
      <w:r>
        <w:t>En l'espèce, force est de constater que le recourant n'a pas rendu plausible une aggravation de son état de santé depuis la date de la dernière décision de l'intimé le 16 mai 2008. Au contraire, à la demande de la Cour de céans, le Dr O__________ de la Fondation Phénix a indiqué le 23 décembre 2010 que l'état de santé du recourant ne s'était pas aggravé depuis le 16 mai 2008 mais qu'il était resté stationnaire, fluctuant selon les événements de vie et qu'il avait constaté une tristesse avec perte de l'élan vital, ralentissement psychomoteur, sentiment de solitude, anhédonie, manque d'énergie et idées noires depuis 2003, soit bien antérieurement au 16 mai 2008. C'est ainsi à juste titre que l'intimé a refusé d'entrer en matière sur la nouvelle demande de prestations du recourant. En revanche, il est à constater, d'une part, que le recourant, appuyé par le Dr O__________, allègue une incapacité totale de travail due à la dégradation de son état de santé en tous les cas depuis mai 2003 et que, d'autre part, le Dr O__________ a précisé le 23 décembre 2010 que la toxicomanie du recourant résultait elle-même d'une atteinte à la santé de celui-ci. Au vu des arguments du recourant, il apparaît que son recours constitue une demande de reconsidération de la décision de refus de prestations du 16 mai 2008, de sorte que le recours sera transmis à l'intimé afin qu'il soit traité au titre d'une telle demande de reconsidération.</w:t>
      </w:r>
    </w:p>
    <w:p>
      <w:r>
        <w:rPr>
          <w:b/>
        </w:rPr>
        <w:t>E. 8</w:t>
      </w:r>
    </w:p>
    <w:p>
      <w:r>
        <w:t>Au vu de ce qui précède, le recours sera rejeté et transmis à l'intimé au sens des considérants.</w:t>
      </w:r>
    </w:p>
    <w:p>
      <w:r>
        <w:rPr>
          <w:b/>
        </w:rPr>
        <w:t>E. 9</w:t>
      </w:r>
    </w:p>
    <w:p>
      <w:r>
        <w:t>Aucun émolument ne sera perçu.</w:t>
      </w:r>
    </w:p>
    <w:p>
      <w:r>
        <w:t>A/3625/2010 - 9/9 -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