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ATAS/91/2010 vom 29. Mai 2009</w:t>
      </w:r>
    </w:p>
    <w:p>
      <w:r>
        <w:t>GE Cour de justice, 2009-05-29, FR</w:t>
      </w:r>
    </w:p>
    <w:p>
      <w:r>
        <w:rPr>
          <w:b/>
        </w:rPr>
        <w:t xml:space="preserve">Quelle: </w:t>
      </w:r>
      <w:r>
        <w:t>https://mcp.opencaselaw.ch/entscheid/ge_gerichte_ATAS_91_2010</w:t>
      </w:r>
    </w:p>
    <w:p>
      <w:r>
        <w:t>FR: GE_GERICHTE ATAS/91/2010 du 29 mai 2009</w:t>
      </w:r>
    </w:p>
    <w:p>
      <w:r>
        <w:t>IT: GE_GERICHTE ATAS/91/2010 del 29 maggio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9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w:t>
      </w:r>
    </w:p>
    <w:p>
      <w:r>
        <w:t>A/3901/2009 - 7/9 -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expose qu'il n'est arrivé que 13 minutes en retard à l'entretien de conseil du 30 juin 2009 et non pas 24 minutes, que ce retard était dû à un entretien avec une société, en vue d'un emploi et qu'il avait tenté à trois reprises, alors qu'il conduisait pour se rendre à son rendez-vous à l'ORP, d'avertir sa conseillère de son retard, mais en vain, dès lors qu'en particulier lors d'un téléphone à 14h03, on lui avait raccroché au nez. Il ressort du dossier qu'il est avéré que le recourant est arrivé en retard à l'entretien de conseil du 30 juin 2009 et que ce retard était dû à un entretien en vue d'un emploi qui s'était terminé aux environs de 13h30. Le recourant estime qu'aucun</w:t>
      </w:r>
    </w:p>
    <w:p>
      <w:r>
        <w:t>A/3901/2009 - 8/9 - reproche ne peut lui être formulé dès lors qu'il a tenté d'avertir sa conseillère de son retard. Selon les déclarations du recourant lors de l'audience du 7 décembre 2009, il avait fixé un rendez-vous avec la société X_________ le 30 juin 2009 à 12h30 alors qu'il avait déjà connaissance de l'entretien de conseil fixé à 14h00 avec sa conseillère. Dans ces circonstances, le recourant aurait dû se rendre compte qu'il prenait le risque de ne pas pouvoir arriver à l'heure à son entretien de conseil, et en avertir sa conseillère avant le jour-même. Quoi qu'il en soit, le recourant a confirmé que sa conseillère s'était brièvement entretenue avec lui le même jour en lui demandant qu'il explique par écrit les raisons de son retard, ce qu'il admet ne pas avoir fait. Selon la note interne de l'OCE, un délai de 24 heures avait effectivement été fixé oralement par sa conseillère pour ce faire. Un courriel a ensuite été envoyé le 3 juillet 2009 au recourant lui fixant un nouveau délai au 6 juillet. Le recourant explique qu'il n'a pas reçu à temps ce courriel car il avait été envoyé à une adresse encore active mais qu'il n'utilisait pas beaucoup et qu'il n'avait ainsi pas fourni les explications requises dans le délai. Selon la procédure décrite par l'OCE (ATAS/530/2008 du 5 mai 2008), un retard de plus de 15 minutes à un entretien de conseil, permet au conseiller de décider de recevoir ou non l'assuré et un retard de 20 minutes est considéré comme une absence à l'entretien de conseil. En l'occurrence, la conseillère n'a pas reçu le recourant en notant une arrivée tardive de 24 minutes alors que le recourant invoque un retard de 13 minutes. Il appert que ce dernier était encore au volant de son véhicule à 14h03, moment où il a téléphoné à l'autorité, de sorte qu'au degré de la vraisemblance prépondérante on peut retenir que le recourant a dû se présenter à l'accueil avec au moins 15 minutes de retard, sa conseillère ne l'ayant d'ailleurs pas reçu pour l'entretien prévu à 14h00. En conséquence, on peut reprocher au recourant, d'une part, de ne pas avoir averti à temps sa conseillère du fait qu'il risquait d'être en retard à son rendez-vous, d'être effectivement arrivé en retard à ce dernier et, d'autre part, de ne pas avoir donné suite aux deux demandes de justificatifs des 30 juin et 3 juillet 2009 de sa conseillère; il lui incombait en particulier de faire le suivi de ses adresses e-mail et d'informer clairement sa conseillère sur une adresse qu'il n'entendait plus utiliser, ce qu'il n'a pas fait.</w:t>
      </w:r>
    </w:p>
    <w:p>
      <w:r>
        <w:rPr>
          <w:b/>
        </w:rPr>
        <w:t>E. 7</w:t>
      </w:r>
    </w:p>
    <w:p>
      <w:r>
        <w:t>En conséquence, il y a lieu de retenir un comportement fautif du recourant et une absence, pour la seconde fois à un entretien de conseil de sorte que la sanction de suspension du droit à l'indemnité de 9 jours est justifiée, le recourant ayant déjà subi une sanction de suspension de son droit à l'indemnité durant 5 jours pour son absence à l'entretien de conseil du 25 mai 2009, confirmée selon l'arrêt du Tribunal de céans de ce jour (procédure A/3896/2009).</w:t>
      </w:r>
    </w:p>
    <w:p>
      <w:r>
        <w:t>A/3901/2009 - 9/9 -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