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ATAS/918/2019 vom 9. Oktober 2019</w:t>
      </w:r>
    </w:p>
    <w:p>
      <w:r>
        <w:t>GE Cour de justice, 2019-10-09, FR</w:t>
      </w:r>
    </w:p>
    <w:p>
      <w:r>
        <w:rPr>
          <w:b/>
        </w:rPr>
        <w:t xml:space="preserve">Quelle: </w:t>
      </w:r>
      <w:r>
        <w:t>https://mcp.opencaselaw.ch/entscheid/ge_gerichte_ATAS_918_2019</w:t>
      </w:r>
    </w:p>
    <w:p>
      <w:r>
        <w:t>FR: GE_GERICHTE ATAS/918/2019 du 9 octobre 2019</w:t>
      </w:r>
    </w:p>
    <w:p>
      <w:r>
        <w:t>IT: GE_GERICHTE ATAS/918/2019 del 9 ottobre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rPr>
          <w:b/>
        </w:rPr>
        <w:t>E. 2</w:t>
      </w:r>
    </w:p>
    <w:p>
      <w:r>
        <w:t>Sa compétence pour juger du cas d’espèce est ainsi établie.</w:t>
      </w:r>
    </w:p>
    <w:p>
      <w:r>
        <w:rPr>
          <w:b/>
        </w:rPr>
        <w:t>E. 3</w:t>
      </w:r>
    </w:p>
    <w:p>
      <w:r>
        <w:t>Interjeté dans le délai et la forme requise, le recours est recevable (art. 60 LPGA et 89B de la loi sur la procédure administrative du 12 septembre 1985; LPA - E 5 10).</w:t>
      </w:r>
    </w:p>
    <w:p>
      <w:r>
        <w:rPr>
          <w:b/>
        </w:rPr>
        <w:t>E. 4</w:t>
      </w:r>
    </w:p>
    <w:p>
      <w:r>
        <w:t>Le litige porte sur le droit du recourant à des prestations de l’assurance-invalidité.</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w:t>
      </w:r>
    </w:p>
    <w:p>
      <w:r>
        <w:t>A/3082/2018 - 10/18 -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6</w:t>
      </w:r>
    </w:p>
    <w:p>
      <w:r>
        <w:t>Dans un arrêt du 11 juillet 2019 (9C_724/2018), le Tribunal fédéral a changé sa jurisprudence concernant le droit à des prestations de l'assurance-invalidité en cas de toxicomanie. Comme pour toutes les autres maladies psychiques, il convient désormais de clarifier au moyen d'une grille d'évaluation normative et structurée si la dépendance à des substances addictives diagnostiquée par des spécialistes influe sur la capacité de travail de la personne concernée. Lors de l'examen du droit à une rente d'invalidité en cas de troubles psychiques, il y a lieu d'examiner la capacité de travail et la capacité fonctionnelle de la personne concernée dans le cadre d'une procédure structurée d'administration des preuves à l'aide d'indicateurs (ATF 141 V 281; ATF 143 V 409 consid. 4.5 et ATF 143 V 418 consid. 6 et 7), car les maladies psychiques ne peuvent en principe être déterminées ou prouvées que de manière limitée sur la base de critères objectifs.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Il convient également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w:t>
      </w:r>
    </w:p>
    <w:p>
      <w:r>
        <w:t>A/3082/2018 - 11/18 - Le Tribunal fédéral a développé dans sa jurisprudence en la matière les indicateurs suivants : a. Le point de départ est le degré de gravité minimal inhérent au diagnostic. Il doit être rendu vraisemblable compte tenu de l’étiologie et de la pathogenèse de la pathologie déterminante pour le diagnostic. Les constatations relatives aux manifestations concrètes de l’atteinte à la santé diagnostiquée permettent de distinguer les limitations fonctionnelles causées par l'atteinte de celles dues à des facteurs non assurés. b.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c.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 n’est pas une comorbidité, mais doit à la rigueur être pris en considération dans le cadre du diagnostic de la personnalité. d.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e.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f. Il s’agit, encore, de se demander si l’atteinte à la santé limite l’assuré de manière semblable dans son activité professionnelle ou dans l’exécution de ses travaux</w:t>
      </w:r>
    </w:p>
    <w:p>
      <w:r>
        <w:t>A/3082/2018 - 12/18 -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 g. Il faut examiner en 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w:t>
      </w:r>
    </w:p>
    <w:p>
      <w:r>
        <w:rPr>
          <w:b/>
        </w:rPr>
        <w:t>E. 7</w:t>
      </w:r>
    </w:p>
    <w:p>
      <w:r>
        <w:t>a. Pour pouvoir établir s’il y a une atteinte incapacitante, le juge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w:t>
      </w:r>
    </w:p>
    <w:p>
      <w:r>
        <w:t>A/3082/2018 - 13/18 -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w:t>
      </w:r>
    </w:p>
    <w:p>
      <w:r>
        <w:t>A/3082/2018 - 14/18 - sociales, un principe selon lequel l’administration ou le juge devrait statuer, dans le doute, en faveur de l’assuré (ATF 126 V 319 consid. 5a).</w:t>
      </w:r>
    </w:p>
    <w:p>
      <w:r>
        <w:rPr>
          <w:b/>
        </w:rPr>
        <w:t>E. 9</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10</w:t>
      </w:r>
    </w:p>
    <w:p>
      <w:r>
        <w:t>En l’espèce, le recourant a fait valoir que l’intimé avait violé son droit d’être entendu en ne respectant les règles relatives à la mise en œuvre d’une expertise. Cette question souffre de rester ouverte, dès lors que la chambre de céans estime nécessaire de procéder à une nouvelle expertise pour les raisons qui suivent. Il apparaît en effet que l’instruction n’a pas été suffisante. Le dossier médical du recourant aurait dû être complété, notamment par les rapports rédigés suite aux quatre hospitalisations du recourant en milieu psychiatrique à Fribourg (hôpital de Marsen) pour des sevrages avec des séjours de deux à trois semaines, ce dont l’expert a eu connaissance par les déclarations du recourant. Par ailleurs, l’expert a retenu une situation claire de toxicodépendance primaire ne posant pas de doute sur le plan psychiatrique, alors que le Dr B______ retenait, pour sa part, le diagnostic de troubles de la personnalité anxieux qu’il considérait incapacitant à 50%. Le médecin traitant avait informé l’expert, lors de leur entretien téléphonique du 21 mars 2018, que le suivi portait essentiellement sur les aspects fonctionnels, relationnels et émotionnels et non seulement sur les problèmes d’addiction du recourant. Dans ces circonstances, l’expert aurait dû motiver davantage les diagnostics posés, en précisant pour quels motifs il s’éloignait de l’appréciation du médecin traitant.</w:t>
      </w:r>
    </w:p>
    <w:p>
      <w:r>
        <w:rPr>
          <w:b/>
        </w:rPr>
        <w:t>E. 11</w:t>
      </w:r>
    </w:p>
    <w:p>
      <w:r>
        <w:t>Enfin, vu la nouvelle jurisprudence du Tribunal fédéral en cas de toxicomanie, il convient désormais de clarifier au moyen d'une grille d'évaluation normative et</w:t>
      </w:r>
    </w:p>
    <w:p>
      <w:r>
        <w:t>A/3082/2018 - 15/18 - structurée si la dépendance à des substances addictives diagnostiquée par des spécialistes influe sur la capacité de travail du recourant, selon la procédure structurée d'administration des preuves à l'aide d'indicateurs développée pour les troubles psychiques. Le rapport d’expertise du 29 mars 2018 ne peut ainsi se voir reconnaître une pleine valeur probante et il se justifie en conséquence d’ordonner une expertise psychiatrique, qui sera confiée à Dresse J_____.</w:t>
      </w:r>
    </w:p>
    <w:p>
      <w:r>
        <w:rPr>
          <w:b/>
        </w:rPr>
        <w:t>E. 12</w:t>
      </w:r>
    </w:p>
    <w:p>
      <w:r>
        <w:t>Les limitations du niveau d’activité sont-elles uniformes dans tous les domaines (professionnel mais aussi personnel) ? Quel est le niveau d’activité sociale et comment a-t-il évolué depuis la survenance de l’atteinte à la santé ?</w:t>
      </w:r>
    </w:p>
    <w:p>
      <w:r>
        <w:rPr>
          <w:b/>
        </w:rPr>
        <w:t>E. 13</w:t>
      </w:r>
    </w:p>
    <w:p>
      <w:r>
        <w:t>L’addiction constatée nécessitent-elle une prise en charge spécialisée ?</w:t>
      </w:r>
    </w:p>
    <w:p>
      <w:r>
        <w:rPr>
          <w:b/>
        </w:rPr>
        <w:t>E. 14</w:t>
      </w:r>
    </w:p>
    <w:p>
      <w:r>
        <w:t>Existe-t-il un trouble de la personnalité ou une altération des capacités inhérentes à la personnalité ?</w:t>
      </w:r>
    </w:p>
    <w:p>
      <w:r>
        <w:rPr>
          <w:b/>
        </w:rPr>
        <w:t>E. 15</w:t>
      </w:r>
    </w:p>
    <w:p>
      <w:r>
        <w:t>De quelles ressources mobilisables l’assuré dispose-t-il ?</w:t>
      </w:r>
    </w:p>
    <w:p>
      <w:r>
        <w:rPr>
          <w:b/>
        </w:rPr>
        <w:t>E. 16</w:t>
      </w:r>
    </w:p>
    <w:p>
      <w:r>
        <w:t>Quel est le contexte social ? L’assuré peut-il compter sur le soutien de ses proches ?</w:t>
      </w:r>
    </w:p>
    <w:p>
      <w:r>
        <w:rPr>
          <w:b/>
        </w:rPr>
        <w:t>E. 17</w:t>
      </w:r>
    </w:p>
    <w:p>
      <w:r>
        <w:t>Dans l’ensemble, le comportement de l’assuré vous semble-t-il cohérent ? Pourquoi ?</w:t>
      </w:r>
    </w:p>
    <w:p>
      <w:r>
        <w:rPr>
          <w:b/>
        </w:rPr>
        <w:t>E. 18</w:t>
      </w:r>
    </w:p>
    <w:p>
      <w:r>
        <w:t>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 Motiver votre position.</w:t>
      </w:r>
    </w:p>
    <w:p>
      <w:r>
        <w:rPr>
          <w:b/>
        </w:rPr>
        <w:t>E. 19</w:t>
      </w:r>
    </w:p>
    <w:p>
      <w:r>
        <w:t>Mentionner globalement les conséquences des divers diagnostics retenus sur la capacité de travail de l’assuré, en pourcent, a) dans l’activité habituelle, b) dans une activité adaptée.</w:t>
      </w:r>
    </w:p>
    <w:p>
      <w:r>
        <w:t>A/3082/2018 - 18/18 -</w:t>
      </w:r>
    </w:p>
    <w:p>
      <w:r>
        <w:rPr>
          <w:b/>
        </w:rPr>
        <w:t>E. 20</w:t>
      </w:r>
    </w:p>
    <w:p>
      <w:r>
        <w:t>Dater la survenance de l’incapacité de travail durable, le cas échéant, indiquer l'évolution de son taux et décrire son évolution.</w:t>
      </w:r>
    </w:p>
    <w:p>
      <w:r>
        <w:rPr>
          <w:b/>
        </w:rPr>
        <w:t>E. 21</w:t>
      </w:r>
    </w:p>
    <w:p>
      <w:r>
        <w:t>Évaluer l'exigibilité, en pourcent, d'une activité lucrative adaptée, indiquer depuis quand une telle activité est exigible et quel est le domaine d'activité adapté.</w:t>
      </w:r>
    </w:p>
    <w:p>
      <w:r>
        <w:rPr>
          <w:b/>
        </w:rPr>
        <w:t>E. 22</w:t>
      </w:r>
    </w:p>
    <w:p>
      <w:r>
        <w:t>Dire s'il y a une diminution de rendement et la chiffrer.</w:t>
      </w:r>
    </w:p>
    <w:p>
      <w:r>
        <w:rPr>
          <w:b/>
        </w:rPr>
        <w:t>E. 23</w:t>
      </w:r>
    </w:p>
    <w:p>
      <w:r>
        <w:t>Cas échéant, la diminution de rendement est-elle déjà comprise dans l’évaluation de la capacité de travail de l’assuré ?</w:t>
      </w:r>
    </w:p>
    <w:p>
      <w:r>
        <w:rPr>
          <w:b/>
        </w:rPr>
        <w:t>E. 24</w:t>
      </w:r>
    </w:p>
    <w:p>
      <w:r>
        <w:t>Évaluer la possibilité d'améliorer la capacité de travail par des mesures médicales. Indiquer quelles seraient les propositions thérapeutiques et leur influence sur la capacité de travail.</w:t>
      </w:r>
    </w:p>
    <w:p>
      <w:r>
        <w:rPr>
          <w:b/>
        </w:rPr>
        <w:t>E. 25</w:t>
      </w:r>
    </w:p>
    <w:p>
      <w:r>
        <w:t>Êtes-vous d'accord avec les conclusions du Dr E_____ du 29 mars 2018 ?</w:t>
      </w:r>
    </w:p>
    <w:p>
      <w:r>
        <w:rPr>
          <w:b/>
        </w:rPr>
        <w:t>E. 26</w:t>
      </w:r>
    </w:p>
    <w:p>
      <w:r>
        <w:t>Êtes-vous d'accord avec les rapports du Dr L_____ (des 7 février 2017 et 15 juin 2018) ?</w:t>
      </w:r>
    </w:p>
    <w:p>
      <w:r>
        <w:rPr>
          <w:b/>
        </w:rPr>
        <w:t>E. 27</w:t>
      </w:r>
    </w:p>
    <w:p>
      <w:r>
        <w:t>Faire toute remarque utile. VI. Invite l'experte à déposer à sa meilleure convenance un rapport en trois exemplaires à la chambre de céans. VII. Réserve le fond.</w:t>
      </w:r>
    </w:p>
    <w:p>
      <w:r>
        <w:t>La greffière</w:t>
      </w:r>
    </w:p>
    <w:p>
      <w:r>
        <w:t>Isabelle CASTILLO</w:t>
      </w:r>
    </w:p>
    <w:p>
      <w:r>
        <w:t>La présidente</w:t>
      </w:r>
    </w:p>
    <w:p>
      <w:r>
        <w:t>Catherine TAPPONNIER</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