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ATAS/918/2017 vom 16. Oktober 2017</w:t>
      </w:r>
    </w:p>
    <w:p>
      <w:r>
        <w:t>GE Cour de justice, 2017-10-16, FR</w:t>
      </w:r>
    </w:p>
    <w:p>
      <w:r>
        <w:rPr>
          <w:b/>
        </w:rPr>
        <w:t xml:space="preserve">Quelle: </w:t>
      </w:r>
      <w:r>
        <w:t>https://mcp.opencaselaw.ch/entscheid/ge_gerichte_ATAS_918_2017</w:t>
      </w:r>
    </w:p>
    <w:p>
      <w:r>
        <w:t>FR: GE_GERICHTE ATAS/918/2017 du 16 octobre 2017</w:t>
      </w:r>
    </w:p>
    <w:p>
      <w:r>
        <w:t>IT: GE_GERICHTE ATAS/918/2017 del 16 ottobre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Le délai de recours est de trente jours (art. 60 al. 1 LPGA et art. 62 al. 1 let. a de la loi sur la procédure administrative du 12 septembre 1985 [LPA-GE - E 5 10]). Interjeté dans la forme et le délai prévus par la loi, le recours est recevable (art. 56 ss LPGA et 62 ss LPA).</w:t>
      </w:r>
    </w:p>
    <w:p>
      <w:r>
        <w:rPr>
          <w:b/>
        </w:rPr>
        <w:t>E. 5</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w:t>
      </w:r>
    </w:p>
    <w:p>
      <w:r>
        <w:t>A/1270/2017 - 12/22 - aucune décision n'a été rendue, la contestation n'a pas d'objet, et un jugement sur le fond ne peut pas être prononcé (ATF 131 V 164 consid. 2.1; ATF 125 V 414 consid. 1a; ATF 119 Ib 36 consid. 1b; arrêt du Tribunal fédéral des assurances K 126/06 du 15 juillet 2007 consid. 3.1). Le juge n'entre donc pas en matière, en règle générale, sur des conclusions qui vont au-delà de l'objet de la contestation (ATF 125 V 413 consid. 1a; arrêt du Tribunal fédéral 8C_164/2009 du 18 mars 2010 consid. 2.1).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les rapports juridiques non litigieux sont certes compris dans l'objet de la contestation, mais non pas dans l'objet du litige (ATF 131 V 164 consid. 2.1; ATF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et ATF 117 V 294 consid. 2a; voir aussi ATF 122 V 34 consid. 2a; arrêt du Tribunal fédéral 9C_406/2012 du 18 septembre 2012 consid. 3.1).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ATF 122 V 36 consid. 2a et les références). Le rapport juridique externe à l'objet de la contestation ne doit pas avoir fait l'objet d'une décision passée en force de chose jugée et les droits procéduraux des parties doivent être respectés (arrêt du Tribunal fédéral 9C_678/2011 du 4 janvier 2012 consid. 3.1). b. En l’espèce, dans sa décision sur opposition du 8 mars 2017 – qui détermine l’objet de la contestation –, l’intimée rejette l’opposition en tant qu’elle est recevable et n’entre pas en matière sur les griefs relatifs à la rente d’invalidité au motif que la décision querellée est entrée en force sur ce point. Par conséquent, elle déclare implicitement irrecevables les conclusions relatives à la rente d’invalidité. Au fond, elle examine uniquement le droit du recourant à une indemnité pour atteinte à l’intégrité. Dans son recours, le recourant conclut à l’octroi tant d’une rente d’invalidité que d’une indemnité pour atteinte à l’intégrité supérieure à 20 %, soit des conclusions qui excèdent l’objet de la contestation défini par la décision sur opposition du 8 mars 2017.</w:t>
      </w:r>
    </w:p>
    <w:p>
      <w:r>
        <w:t>A/1270/2017 - 13/22 - Aussi, l’objet du litige est-il circonscrit, d’une part, à la question du bien-fondé de l’irrecevabilité des conclusions du recourant relatives à la rente d’invalidité et, d’autre part, à la question du bien-fondé d’une IPAI de 20 %.</w:t>
      </w:r>
    </w:p>
    <w:p>
      <w:r>
        <w:rPr>
          <w:b/>
        </w:rPr>
        <w:t>E. 6</w:t>
      </w:r>
    </w:p>
    <w:p>
      <w:r>
        <w:t>a. Les décisions peuvent être attaquées dans les trente jours par voie d'opposition auprès de l'assureur qui les a rendues, à l'exception des décisions d'ordonnancement de la procédure (art. 52 al. 1 LPGA). Selon l'art. 10 de l’ordonnance sur la partie générale du droit des assurances sociales du 11 septembre 2002 (OPGA - RS 830.11), l'opposition doit contenir des conclusions et être motivée (al. 1); si elle ne satisfait pas à ces exigences ou si elle n'est pas signée, l'assureur impartit un délai convenable pour réparer le vice, avec l'avertissement qu'à défaut, l'opposition ne sera pas recevable (al. 5). Les exigences posées à la forme et au contenu d'une opposition ne sont pas élevées. Il suffit que la volonté du destinataire d'une décision de ne pas accepter celle-ci ressorte clairement de son écriture ou de ses déclarations (ATF 115 V 422 consid. 3a; cf. également arrêt du Tribunal fédéral des assurances H 155/03 du 25 août 2003 consid. 4.2 publié in SVR 2004 AHV no 10 p. 31). Selon la jurisprudence, l'opposition constitue une sorte de procédure de reconsidération qui confère à l'autorité ayant statué la possibilité de réexaminer sa décision avant que le juge ne soit éventuellement saisi. Il s'agit d'un véritable «moyen juridictionnel» ou «moyen de droit» (ATF 125 V 121 consid. 2a; ATF 118 V 185 consid. 1a et les références). A ce titre, l'opposition doit être motivée, faute de quoi elle manque son but, lequel est d'obliger l'assureur à revoir sa décision de plus près. En d'autres termes, il doit être possible de déduire des moyens de l'opposant une argumentation dirigée contre le dispositif de la décision et susceptible de mener à sa réforme ou à son annulation. Il appartient à l'assuré de déterminer l'objet et les limites de sa contestation, l'assureur devant alors examiner l'opposition dans la mesure où sa décision est entreprise (ATF 123 V 130 consid. 3a; ATF 119 V 350 consid. 1b; SJ 2001 II 212). Partant, la décision de l'assureur entre partiellement en force, dans la mesure où elle n'est pas attaquée en procédure d'opposition (sur certains points) et ne fait pas l'objet d'un examen d'office (ATF 119 V 350 consid. 1b; SJ 2001 II 212; arrêt du Tribunal fédéral des assurances U 27/04 du 15 mars 2005 consid. 3.1). En vertu de l'art. 40 al. 3 LPGA, le délai fixé par l'assureur, respectivement par le juge de première instance, peut être prolongé pour des motifs pertinents si la partie en fait la demande. Il ne s'agit pas d'un délai légal à proprement parler, lequel ne peut pas être prolongé (cf. art. 40 al. 1 et 60 al. 2 LPGA), mais d'un délai dont la durée est laissée à l'appréciation de l'autorité. Sur le principe, un tel délai est prolongeable (RCC 1986 p. 426 consid. 1b; arrêt du Tribunal fédéral 8C_479/2016 du 2 août 2017 consid. 6.4, destiné à la publication). Selon la jurisprudence, il y a formalisme excessif, constitutif d'un déni de justice formel prohibé par les art. 29 al. 1 Cst. et 6 par. 1 CEDH, lorsque la stricte</w:t>
      </w:r>
    </w:p>
    <w:p>
      <w:r>
        <w:t>A/1270/2017 - 14/22 -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(ATF 134 II 244 consid. 2.4.2; ATF 130 V 177 consid. 5.4.1; ATF 128 II 139 consid. 2a).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(cf. ATF 104 Ia 4 consid. 3; arrêt du Tribunal fédéral 9C_923/2009 du 10 mai 2010 consid. 4.1.1). b. En l’espèce, le recourant a formé opposition par courrier du 2 décembre 2016 dans lequel il conclut, à titre préliminaire, à la transmission du dossier et, principalement, à l’annulation de la décision du 23 novembre 2016, ainsi qu’à l’octroi d’une indemnité pour atteinte à l’intégrité de 100 %. Il précise que les motifs de son opposition seront exposés de manière plus complète dès que l’intimée lui aura transmis son dossier. Par courrier du 5 décembre 2016, l’intimée a accusé réception de l’opposition, puis par courrier recommandé du 13 décembre 2016, elle a transmis une copie de son dossier au recourant et lui a accordé un délai de trente jours dès réception du dossier pour préciser s’il maintenait son opposition et, dans l’affirmative, pour qu’il motive son opposition. Après que le recourant ait requis, le 16 janvier 2017, l’octroi d’un délai supplémentaire en précisant qu’il était toujours dans l’attente de rapports médicaux sans lesquels il ne pouvait pas se déterminer sur les motifs de son opposition, l’intimée a prolongé le délai jusqu’au 28 février 2017. Enfin, dans le délai imparti, le recourant a motivé son opposition tant sur le plan du degré de l’atteinte à l’intégrité que sur celui de l’invalidité en concluant à l’octroi d’une rente d’invalidité et d’une indemnité pour atteinte à l’intégrité physique supérieure à 20 %. Il ressort de ce qui précède que, le 2 décembre 2016, le recourant a formé opposition à la décision du 23 novembre 2016, dans le délai légal de l’art. 52 al. 1 LPGA arrivant à échéance au plus tôt le 9 janvier 2017 (art. 38 al. 2 et 4 LPGA). L’intimée ne le conteste pas puisqu’elle a accusé réception de ladite opposition par courrier du 5 décembre 2016. En revanche, le recourant a motivé son opposition au-delà de ce délai en prenant des conclusions quant à la rente d’invalidité en sus de celles prises dans le délai légal d’opposition, à savoir en annulation de la décision et à l’octroi d’une indemnité pour atteinte à l’intégrité supérieure à 20 %. L’intimée en infère que la décision est entrée en force sur la question de la rente d’invalidité. Or, dans son courrier du 2 décembre 2016, le recourant a très clairement précisé qu’il ne pouvait pas se déterminer sur les motifs de son opposition tant qu’il n’était pas en possession des rapports médicaux demandés à ses médecins, puis à la suite du délai de trente jours que l’intimée a fixé</w:t>
      </w:r>
    </w:p>
    <w:p>
      <w:r>
        <w:t>A/1270/2017 - 15/22 - au recourant pour motiver son opposition, le 13 décembre 2016 lors de l’envoi du dossier, elle a fait droit à la demande du recourant en prolongation de délai au 28 février 2017. Même si, dans son opposition, le recourant a pris uniquement des conclusions relatives à l’atteinte à l’intégrité, il ressort toutefois clairement de son écriture qu’il s’oppose à ladite décision, sans être en mesure de prendre des conclusions définitives et de motiver son opposition avant d’être en possession des rapports médicaux demandés. Or, dans le cadre d'une décision portant aussi bien sur le droit à une rente de l'assurance-accidents que sur le droit à une indemnité pour atteinte à l'intégrité, il a été jugé que ce serait faire preuve de formalisme excessif que d'exiger de l'opposant que ses conclusions se réfèrent expressément au droit à l'indemnité pour atteinte à l'intégrité, sous peine de quoi la décision entrerait partiellement en force sur ce point. Il suffit qu'il soit possible de déduire des conclusions de l'opposant interprétées au regard des griefs formulés une volonté de contester également l'indemnité pour atteinte à l'intégrité en plus du droit à la rente (arrêts du Tribunal fédéral des assurances U 27/04, op. cit., consid. 3.2 et U 152/01 du 8 octobre 2003 consid. 3). Au demeurant, il était contradictoire de la part de l’intimée d'impartir un délai supplémentaire au recourant pour motiver son opposition en application de l’art. 40 al. 3 LPGA, - qui est prolongeable -, puis de considérer dans sa décision sur opposition du 8 mars 2017 qu'il n'avait pas contesté la question de la rente d’invalidité dans le délai de l’art. 52 al. 1 LPGA. À tout le moins aurait-elle dû clarifier ce point avant d'impartir le délai supplémentaire. Par conséquent, l’intimée a fait preuve d’un formalisme excessif, proche du déni de justice, en déclarant irrecevables les conclusions du recourant relatives à la rente d’invalidité formulées à réception du rapport du Dr F______ du 18 janvier 2017, dès lors que la stricte application d’une règle de procédure ne se justifie par aucun intérêt digne de protection. Dans ces conditions, faute de décision sur opposition revoyant la décision initiale sur la question de la rente d’invalidité, la chambre de céans ne peut pas entrer en matière sur les conclusions du recourant à ce sujet. Aussi, la cause doit être renvoyée à l’intimée pour qu'elle statue sur le droit à une rente d’invalidité par décision sur opposition. Reste à examiner la question du taux de l'indemnité pour atteinte à l'intégrité provoquée par l’accident du 27 novembre 2013.</w:t>
      </w:r>
    </w:p>
    <w:p>
      <w:r>
        <w:rPr>
          <w:b/>
        </w:rPr>
        <w:t>E. 7</w:t>
      </w:r>
    </w:p>
    <w:p>
      <w:r>
        <w:t>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w:t>
      </w:r>
    </w:p>
    <w:p>
      <w:r>
        <w:t>A/1270/2017 - 16/22 - Au moment de l’accident en 2013, le montant maximum du gain assuré s’élèvait à CHF 126'000.- par an et CHF 346.- par jour (art. 22 al. 1 de l'ordonnance sur l'assurance-accidents, du 20 décembre 1982 [OLAA - RS 832.202]; RO 1998 151). b. L'indemnité pour atteinte à l'intégrité a pour but de compenser le dommage subi par un assuré du fait d'une atteinte grave à son intégrité corporelle ou mentale due à un accident. Elle ne sert pas à réparer les conséquences économiques de l'atteinte, qui sont indemnisées au moyen d'une rente d'invalidité, mais joue le rôle d'une réparation morale. Elle vise à compenser un préjudice immatériel (douleurs, souffrances, diminution de la joie de vivre, limitation des jouissances offertes par l'existence etc.) qui perdure au-delà de la phase du traitement médical et dont il y a lieu d'admettre qu'il subsistera la vie durant (arrêt du Tribunal fédéral 8C_703/2008 du 25 septembre 2009 consid. 5.1 et les références). Il résulte de l’art. 25 al. 1 LAA que l’indemnité pour atteinte à l’intégrité est fixée en fonction de la gravité de l’atteinte. Celle-ci s’apprécie d’après les constatations médicales. C’est dire que chez tous les assurés présentant le même status médical, l’atteinte à l’intégrité est la même; elle est évaluée en effet de manière abstraite, égale pour tous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Le taux d'une atteinte à l'intégrité doit être évalué exclusivement sur la base de constatations médicales (ATF 115 V 147 consid. 1; ATF 113 V 218 consid. 4b; RAMA 2004 p. 415; arrêt du Tribunal fédéral des assurances U 134/03 du</w:t>
      </w:r>
    </w:p>
    <w:p>
      <w:r>
        <w:rPr>
          <w:b/>
        </w:rPr>
        <w:t>E. 12</w:t>
      </w:r>
    </w:p>
    <w:p>
      <w:r>
        <w:t>janvier 2004 consid. 5.2). c. Selon l’art. 36 OLAA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mentale ou psychique, dues à un ou plusieurs accidents, l'indemnité pour atteinte à l'intégrité est fixée d'après l'ensemble du dommage (al. 3, 1ère phrase). Il sera équitablement tenu compte des aggravations prévisibles de l'atteinte à l'intégrité; une révision n'est possible qu'en cas exceptionnel si l'aggravation est importante et n'était pas prévisible (al. 4). .</w:t>
      </w:r>
    </w:p>
    <w:p>
      <w:r>
        <w:t>A/1270/2017 - 17/22 - Cette disposition a été jugée conforme à la loi en tant qu'elle définit le caractère durable de l'atteinte (ATF 133 V 224 consid. 2;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d. 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Caisse nationale suisse d'assurance en cas d'accidents (CNA) a établi plusieurs tables d'indemnisation des atteintes à l'intégrité selon la LAA (disponibles sur www.suva.ch) en vue d'une évaluation plus affinée de certaines atteintes.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t>A/1270/2017 - 18/22 -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8C_622/2014 du 2 novembre 2015 consid. 3.3).</w:t>
      </w:r>
    </w:p>
    <w:p>
      <w:r>
        <w:t>A/1270/2017 - 19/22 - 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9. De jurisprudence constante, le juge apprécie en règle générale la légalité des décisions entreprises d'après l'état de fait existant au moment où la décision litigieuse a été rendue (ATF 131 V 242 consid. 2.; ATF 121 V 362 consid. 1b).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9C_537/2009 du 1er mars 2010 consid. 3.2). 10. S’agissant de l’atteinte à l’intégrité, le recourant fait grief à l’intimée de ne pas avoir tenu compte de ses douleurs chroniques à la cheville droite pour fixer le degré de ladite atteinte et de ne pas avoir appliqué par analogie l’annexe 3 de l’OLAA. Il conteste la valeur probante de l’évaluation du Dr G______ pour ce même motif. a. L’intimée a fixé l’atteinte à l’intégrité à 20 % sur la base du tableau 5 concernant le taux d’atteinte à l’intégrité résultant d’arthroses. Dans son rapport du 17 août 2016, consécutif à son examen final de la veille, le Dr G______ constate, à l’examen clinique, une légère diminution de la flexion de la cheville droite et, au bilan radiologique, une arthrose tibio-tarsienne. Dans son évaluation de l’atteinte à l’intégrité du 17 août 2016, il se base sur la table 5 des barèmes d’indemnisation LAA et tient compte d’une arthrose tibio-tarsienne sans instabilité. Il motive le taux de 20 % par le fait qu’il s’agit d’un taux légèrement supérieur au taux minimum en cas d’arthrose tibio-tarsienne grave. Au vu du jeune âge de l’assuré, il mentionne une éventuelle indication à une endoprothèse. b. En l’espèce, selon l’annexe 3 à l’OLAA, la perte d’un pied donne droit à une indemnité pour atteinte à l’intégrité de 30 %. Etant donné que le recourant n’a pas perdu même partiellement l’usage de son pied droit, il y a lieu d’appliquer par</w:t>
      </w:r>
    </w:p>
    <w:p>
      <w:r>
        <w:t>A/1270/2017 - 20/22 - analogie le barème en tenant compte de la gravité de l’atteinte (ch. 1 al. 2 de l’annexe 3) et, par conséquent, de se référer aux tables établies par la Division médicale de la SUVA. Les troubles dont souffre le recourant donnent lieu à une indemnisation au titre de l’atteinte à l’intégrité selon lesdites tables. D’après le tableau 2 concernant le taux d’atteinte à l’intégrité résultant de troubles fonctionnels des membres inférieurs, s’agissant de l’articulation tibio-tarsienne, le taux de l’atteinte est de 15 % lorsqu’elle est bloquée à angle droit et de 20 % lorsqu’elle est bloquée en équin. En l’occurrence, la flexion de la cheville droite est diminuée par rapport à la cheville gauche, sans toutefois que cette limitation ne corresponde au blocage de l’articulation tibio-tarsienne à angle droit ou en équin, de sorte que ce tableau ne s’applique pas. Selon le tableau 5 concernant le taux d’atteinte à l’intégrité résultant d’arthroses, l’arthrose légère ne donne pas droit à une indemnité. En cas d’endoprothèse, on applique le même taux, que la prothèse soit partielle ou totale. Si l’articulation considérée présente une instabilité en plus de l’arthrose, on retiendra le taux d’atteinte à l’intégrité le plus élevé, sans cumul en règle générale. En cas d’implant d’une endoprothèse, on se base sur l’état non corrigé, c’est-à-dire sur le degré de gravité de l’arthrose avant l’implant. En présence d’arthrose tibio-tarsienne, l’atteinte à l’intégrité se situe entre 5 % et 15 % si l’arthrose est moyenne, 15 % à 30 % si l’arthrose est grave et à 15 % en cas de résection ou d’arthrodèse. Contrairement à ce que soutient le recourant, le Dr G______ a pris en considération ses douleurs à la cheville droite, puisqu’il a tenu compte d’une arthrose tibio- tarsienne qui, par définition, est douloureuse. Par conséquent, il prend en compte les plaintes du recourant. Son évaluation repose sur un examen clinique en date du</w:t>
      </w:r>
    </w:p>
    <w:p>
      <w:r>
        <w:rPr>
          <w:b/>
        </w:rPr>
        <w:t>E. 16</w:t>
      </w:r>
    </w:p>
    <w:p>
      <w:r>
        <w:t>août 2016, le dossier radiologique et le dossier médical, notamment le rapport de la CRR du 15 janvier 2016 consécutif au séjour du recourant dans cet établissement du 24 novembre au 22 décembre 2015. Il explique également pourquoi il retient un taux de 20 %. Par ailleurs, aucun rapport médical au dossier ne procède à une évaluation divergente de l’atteinte à l’intégrité du recourant à la cheville droite. Au contraire, dans son appréciation du 19 mai 2017, qui procède à un nouvel examen de l’évaluation de l’atteinte à l’intégrité, la Dresse H______ retient l’existence d’une arthrose tibio-tarsienne avancée donnant droit à une indemnité pour atteinte à l’intégrité de 15 % à 30 % dont la gravité est limitée à l’extrémité ou au tiers postérieur de l’articulation, ce qui justifie d’appliquer un taux de 20 %, soit un taux inférieur au taux maximum de 30 %. Dès lors, l’évaluation du Dr G______ a valeur probante. Les limitations subies par le recourant sont moins importantes qu’en cas d’arthrodèse de la cheville (blocage complet de l’articulation), qui donne droit à une indemnité pour atteinte à l’intégrité de 15 % selon la table 5, puisqu’il présente une limitation en dorso-flexion de la cheville et non un blocage total de l’articulation, de sorte que l’atteinte à l’intégrité pour cette limitation est inférieure à 15 %. Par conséquent, en retenant une atteinte à l’intégrité de 20 %, le</w:t>
      </w:r>
    </w:p>
    <w:p>
      <w:r>
        <w:t>A/1270/2017 - 21/22 - Dr G______ a tenu compte en plus des douleurs dont souffre le recourant et il n’existe pas de motif sérieux justifiant de s’écarter de son appréciation. En définitive, il y a lieu de confirmer l’octroi d’une indemnité pour atteinte à l’intégrité de 20 % en raison des troubles de la cheville droite. 11. Dans un dernier grief, le recourant invoque une violation de l’art. 16 al. 2 LAA, en reprochant à l’intimée d’avoir supprimé son droit à l’indemnité journalière dès le 1er décembre 2016, alors qu’aucune rente d’invalidité ne lui est versée et qu’il n’a pas retrouvé sa pleine capacité de travail. En l’espèce, dans son recours, le recourant ne prend pas de conclusions quant à la poursuite du versement de l’indemnité journalière et cela à juste titre, puisqu’il n’a pas formé opposition sur cette question qui est dès lors entrée en force de chose décidée. Par conséquent, il n’y a pas lieu d’examiner ce grief. 12. Au vu de ce qui précède, le recours est partiellement admis et la décision sur opposition du 8 mars 2017 est partiellement annulée au sens des considérants. Le recourant obtenant gain de cause et étant représenté, une indemnité de CHF 2’500.-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A/1270/2017 - 22/22 -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