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ATAS/918/2009 vom 13. Juli 2009</w:t>
      </w:r>
    </w:p>
    <w:p>
      <w:r>
        <w:t>GE Cour de justice, 2009-07-13, FR</w:t>
      </w:r>
    </w:p>
    <w:p>
      <w:r>
        <w:rPr>
          <w:b/>
        </w:rPr>
        <w:t xml:space="preserve">Quelle: </w:t>
      </w:r>
      <w:r>
        <w:t>https://mcp.opencaselaw.ch/entscheid/ge_gerichte_ATAS_918_2009</w:t>
      </w:r>
    </w:p>
    <w:p>
      <w:r>
        <w:t>FR: GE_GERICHTE ATAS/918/2009 du 13 juillet 2009</w:t>
      </w:r>
    </w:p>
    <w:p>
      <w:r>
        <w:t>IT: GE_GERICHTE ATAS/918/2009 del 13 luglio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 délai légal et la forme prescrite auprès de l’autorité compétente, le recours déposé le 10 mars 2009 contre la décision du 6 février 2009 est recevable (art. 56 ss LPGA).</w:t>
      </w:r>
    </w:p>
    <w:p>
      <w:r>
        <w:rPr>
          <w:b/>
        </w:rPr>
        <w:t>E. 3</w:t>
      </w:r>
    </w:p>
    <w:p>
      <w:r>
        <w:t>a) La loi fédérale du 16 décembre 2005 modifiant la LAI est entrée en vigueur le 1er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Les règles de procédure quant à elles s'appliquent sans réserve dès le jour de son entrée en vigueur (ATF 117 V 93 consid. 6b, 112 V 360 consid. 4a; RAMA 1998 KV 37 p. 316 consid. 3b). b) Le présent cas est soumis au nouveau droit, dès lors que le recours de droit administratif a été formé après le 1er juillet 2006 (ch. II let. c des dispositions transitoires relatives à la modification du 16 décembre 2005).</w:t>
      </w:r>
    </w:p>
    <w:p>
      <w:r>
        <w:t>A/831/2009 - 6/15 - c) S’agissant des modifications de la LAI du 6 octobre 2006 (5ème révision de la LAI), entrées en vigueur le 1er janvier 2008, elles sont à prendre en considération pour déterminer les prestations dès cette date dans la mesure de leur pertinence, eu égard au principe selon lequel les règles applicables sont celles en vigueur au moment de la réalisation de l'état de fait dont les conséquences juridiques font l'objet de la décision (ATF 129 V 1 consid. 1.2 p. 4 et les arrêts cités). Cela étant, s’agissant de l’évaluation de l’invalidité et de l’échelonnement des rentes, cette novelle n’a pas apporté de modifications substantielles (cf. Message concernant la modification de la loi fédérale sur l’assurance-invalidité [5ème révision], du 22 juin 2005, FF 2005 4215, p. 4322).</w:t>
      </w:r>
    </w:p>
    <w:p>
      <w:r>
        <w:rPr>
          <w:b/>
        </w:rPr>
        <w:t>E. 4</w:t>
      </w:r>
    </w:p>
    <w:p>
      <w:r>
        <w:t>En l’espèce, le litige porte sur le droit du recourant à une rente ou à des mesures professionnelles, singulièrement sur le degré d’invalidité qu’il présente.</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w:t>
      </w:r>
    </w:p>
    <w:p>
      <w:r>
        <w:t>A/831/2009 - 7/15 - références). L’élément déterminant pour la valeur probante n’est en principe ni l’origine du moyen de preuve, ni sa désignation, sous la forme d’un rapport ou d’une expertise, mais bel et bien son contenu (ATF 122 V 160 consid. 1c.). c) Les organes d'observation professionnelle ont pour fonction de compléter les données médicales en examinant concrètement dans quelle mesure l'assuré est à même de mettre en valeur une capacité de travail et de gain sur le marché du travail (ATF non publié du 21 janvier 2008, I 133/07 et I 145/07, consid. 2.2). Dans le cas où ces appréciations divergent sensiblement, il incombe à l'administration, respectivement au juge - conformément au principe de la libre appréciation des preuves (ATF 125 V 351 consid. 3a p. 352) - de confronter les deux appréciations et, au besoin, de requérir un complément d'instruction (ATF non publié du 21 janvier 2008, I 133/07 et I 145/07, consid. 2.2 et les références).</w:t>
      </w:r>
    </w:p>
    <w:p>
      <w:r>
        <w:rPr>
          <w:b/>
        </w:rPr>
        <w:t>E. 6</w:t>
      </w:r>
    </w:p>
    <w:p>
      <w:r>
        <w:t>a) En l’espèce, selon l’avis concordant de l’ensemble des médecins consultés, le recourant n’est plus en mesure d’exercer son ancienne activité de mécanicien automobile, l’impotence fonctionnelle de l’épaule droite l’empêchant d’exercer tout travail de force de même que d’effectuer des gestes répétitifs avec l’épaule droite, ou porter des charges moyennes à lourdes ou encore travailler bras tendus ou en hauteur (cf. examen final du médecin d’arrondissement de la SUVA du 4 mai 2006 ; avis du SMR du 22 juin 2006 ; rapport du médecin traitant à l’OCAI du 20 avril 2006). En revanche, dans une activité adaptée à ces limitations fonctionnelles, le recourant conserve une capacité de travail entière (cf. avis du SMR du 22 juin 2006 ; rapport du médecin traitant à l’OCAI du 20 avril 2006 ; examen final du médecin d’arrondissement de la SUVA du 4 mai 2006). b) Ces conclusions concordent en substance avec celles des organes d’observation professionnelle qui ont constaté que les capacités du recourant étaient compatibles avec un emploi à plein temps, excluant les travaux de force, de même que les travaux de précision, fins et répétitifs (rapport OSER du 16 mai 2007). Les activités retenues étaient celles de magasinage léger dans secteur automobile, de magasinage léger dans quincaillerie, de montage sous-ensembles légers en atelier, d’opérateur CNC et d’ébavurage, lavage et micromécanique. En ce qui concerne le rendement dans ces activités, les organes d’observation ont estimé qu’il devait être proche de la normale après formation pratique (cf. rapport OSER du 16 mai 2007, p. 13), tout en rapportant qu’un rendement de 70%-80%, avait été observé lors du stage en entreprise de quatre semaines (cf. rapport OSER du 16 mai 2007). Ces dernières constatations, pour utiles qu'elles soient, ne sauraient supplanter l'avis dûment motivé des médecins à qui il appartient, au premier chef, de porter un jugement sur l'état de santé de l'assuré et d'indiquer dans quelle mesure et pour quelles activités celui-ci est capable de travailler, le cas échéant quels travaux ont peut encore raisonnablement exiger de lui (cf. ATF non publié du 11 juillet 2005, I 531/04, consid. 4.2).</w:t>
      </w:r>
    </w:p>
    <w:p>
      <w:r>
        <w:t>A/831/2009 - 8/15 - d) Dès lors, suivant l'avis des médecins, il y a lieu de tenir le recourant, incapable de poursuivre son activité de mécanicien pour automobiles, comme pleinement capable d'exercer une activité adaptée à son handicap.</w:t>
      </w:r>
    </w:p>
    <w:p>
      <w:r>
        <w:rPr>
          <w:b/>
        </w:rPr>
        <w:t>E. 7</w:t>
      </w:r>
    </w:p>
    <w:p>
      <w:r>
        <w:t>a) Il reste à déterminer si le recourant subit une perte de gain en mettant pleinement à profit sa capacité résiduelle de travail dans une activité adaptée.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ATF 130 V 348 consid. 3.4, 128 V 30 consid. 1, 104 V 136 consid. 2a et 2b; art. 28 al. 2 LAI dans la teneur en vigueur jusqu’au 31 décembre 2007 en corrélation avec l'art. 16 LPGA). c)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(VSI 1998 p. 296 consid. 3b et les références).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(ATF non publié du 27 juillet 2005, I 61/05, consid. 4.3 et les références). S'il est vrai que des facteurs tels que l'âge, le manque de formation ou les difficultés linguistiques jouent un rôle non négligeable pour déterminer dans un cas concret les</w:t>
      </w:r>
    </w:p>
    <w:p>
      <w:r>
        <w:t>A/831/2009 - 9/15 -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du 27 juillet 2005, I 61/05, consid. 4.4 et les références).</w:t>
      </w:r>
    </w:p>
    <w:p>
      <w:r>
        <w:rPr>
          <w:b/>
        </w:rPr>
        <w:t>E. 8</w:t>
      </w:r>
    </w:p>
    <w:p>
      <w:r>
        <w:t>a) Pour procéder à la comparaison des revenus selon l'art. 28 al. 2 aLAI et 16 LPGA, il convient de se placer au moment de la naissance du droit à une éventuelle rente de l'assurance-invalidité, soit généralement une année après le début de l’incapacité de travail significative (art. 29 al. 1 let. b LAI dans sa teneur en vigueur jusqu’au 31 décembre 2007). Aussi longtemps que l’assuré peut prétendre à une indemnité journalière au sens de l’art. 22 LAI, le droit à une rente ne prend pas naissance (art. 29 al. 2 LAI). Les revenus avec et sans invalidité doivent être déterminés par rapport à un même moment et les modifications de ces revenus survenues jusqu'au moment où la décision est rendue doivent être prises en compte, dans la mesure où elles sont susceptibles d'influencer le droit à la rente. b) Le revenu d'invalide doit être évalué avant tout en fonction de la situation professionnelle concrète de l'intéressé. En l'absence d'un revenu effectivement réalisé, il y a lieu de se référer aux données statistiques, telles qu'elles résultent de l'enquête sur la structure des salaires (ESS) publiée par l'Office fédéral de la statistique (ATF 126 V 76 consid. 3b/aa et bb). On se réfère alors à la statistique des salaires bruts standardisés, en se fondant toujours sur la médiane ou valeur centrale (ATF 124 V 323 consid. 3b/bb;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V 76 consid. 5b/aa-cc).</w:t>
      </w:r>
    </w:p>
    <w:p>
      <w:r>
        <w:t>A/831/2009 - 10/15 - c)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d) Enfin, le Tribunal fédéral a eu l’occasion de préciser, dans un arrêt du 19 décembre 2003 (ATF 130 V 121), que le résultat exact du calcul du degré d’invalidité doit être arrondi au chiffre en pour cent supérieur ou inférieur selon les règles applicables en mathématiques.</w:t>
      </w:r>
    </w:p>
    <w:p>
      <w:r>
        <w:rPr>
          <w:b/>
        </w:rPr>
        <w:t>E. 9</w:t>
      </w:r>
    </w:p>
    <w:p>
      <w:r>
        <w:t>a) En l’espèce, le recourant, né au mois d’août 1949, était âgé de 59 ans et 6 mois au moment déterminant où la décision litigieuse a été rendue (6 février 2009). Il a travaillé en tant que mécanicien pour divers employeurs depuis son arrivée en Suisse en 1970, soit pendant environ quarante ans, son dernier rapport de travail en tant que mécanicien d’automobile salarié ayant duré 18 ans. Il apparaît ainsi qu’au cours de sa longue carrière professionnelle dans le même domaine d’activité, le recourant a acquis des compétences et une expérience susceptibles d’être mises en valeur. De plus, entre février 2007 et décembre 2008 il a bénéficié de mesures de reconversion professionnelle, en particulier d’une année de stage en entreprise dans le domaine du magasinage de pièces détachées automobiles, complétée d’une formation en informatique, de nature à lui permettre de retrouver un travail. On soulignera à cet égard que pendant toute la durée du processus de reconversion professionnelle, qui s’est achevé en décembre 2008, le recourant n’a pas signalé que l’activité pour laquelle il était en train d’être reclassé était incompatible avec son état de santé. Dans ces conditions, dès lors qu’il lui reste encore quelques années devant lui jusqu’à la survenance de l’âge de la retraite, qu’il a bénéficié d’une formation lui permettant de travailler dans un domaine plus adapté à son état de santé, il apparaît que la reprise d’une activité salariée auprès d’un autre employeur n’est pas de nature à requérir des efforts d’adaptation hors du commun (cf. a contrario ATF non publié du 14 juillet 2008, 9C_612/07, consid. 5.2) Sa situation est en particulier différente de celle examinée dans l’arrêt du Tribunal fédéral du 19 mars 2009, cause 9C_437/08, où notre Haute Cour a estimé qu’une assurée âgée de 61 ans et un mois au moment de la décision litigieuse et avec une capacité résiduelle de travail de 50%, qui avait travaillé comme femme de ménage puis en tant concierge dans un immeuble, n’avait acquis durant sa carrière aucune expérience professionnelle ou autre susceptible d’être mise en valeur, raison pour laquelle, compte tenu de son âge et des importantes limitations fonctionnelles, une reconversion professionnelle présupposait des facultés d’adaptation insurmontables d’un point de vue objectif. b) Le Tribunal retient ainsi que si l'âge du recourant peut limiter ses possibilités de retrouver un emploi, il ne rend pas cette perspective illusoire, même en tenant</w:t>
      </w:r>
    </w:p>
    <w:p>
      <w:r>
        <w:t>A/831/2009 - 11/15 - compte des restrictions induites par l'état de santé. (cf. ATF non publié du 15 octobre 2008, 9C_104/2008, consid. 4 et les références), ce d’autant moins qu’il a bénéficié de mesures destinées à faciliter une reconversion professionnelle, qu’il a suivies sans émettre de réserves. Il sera en revanche tenu compte du facteur de l’âge dans le cadre de l’abattement sur le salaire statistique.</w:t>
      </w:r>
    </w:p>
    <w:p>
      <w:r>
        <w:rPr>
          <w:b/>
        </w:rPr>
        <w:t>E. 10</w:t>
      </w:r>
    </w:p>
    <w:p>
      <w:r>
        <w:t>a) S’agissant du revenu d’invalide, l’OCAI a pris en considération le salaire ESS 2006 pour un homme travaillant dans le domaine des services de transports de personnes et de marchandises, secteur public et secteur privé (TA7, niveau de qualification 3, ligne 31), soit 5'404 fr. par mois. A cet égard, il convient d’observer que dans la mesure où le recourant n’a pas repris un travail après la mesure de reclassement (cf. ATF I 412/03, du 10 octobre 2003, consid. 5.2), le recours aux données statistiques apparaît en l’espèce justifié. De même, la référence au niveau de qualification après reclassement n’est pas non plus critiquable (cf. ATF I 412/03, du 10 octobre 2003, consid 5.2 ; ATAS/37/2009 du 20 janvier 2009, consid. 6b), à tout le moins si le reclassement offert était adéquat et suivi avec succès. Ce dernier point est contesté par le recourant qui estime que son état de santé était en réalité incompatible avec l’exercice de l’activité de magasinier - vendeur. La question de savoir si le recours aux salaires statistiques correspondants au niveau de qualification après reclassement était en l’espèce fondé peut toutefois demeurer indécise dès lors qu’en tout état de cause, même en prenant en considération le salaire statistique d’un homme exerçant une activité simple et répétitive, sans qualification particulière, dans le secteur privé (table ESS TA1, ligne total secteur privé, niveau 4), le degré d’invalidité du recourant après comparaison des revenus demeure inférieur à 40% et n’est pas susceptible d’ouvrir le droit à une rente. Selon les données statistiques, le revenu mensuel en 2006, pour un homme exerçant une activité simple et répétitive (niveau 4) était de 4'732 fr. Dans la mesure où ce montant représente le salaire mensuel brut (valeur centrale) pour des postes de travail qui ne requièrent pas de qualifications professionnelles particulières, force est d'admettre que la plupart de ces emplois sont, abstraction faite des limitations physiques éprouvées par le recourant, conformes aux aptitudes de celui-ci. Par ailleurs, au regard du large éventail d'activités simples et répétitives que recouvrent les secteurs de la production et des services, on doit également convenir qu'un nombre significatif de ces activités sont adaptées au handicap du recourant. Ce revenu doit être actualisé à 2008, année de naissance du droit à la rente et déterminante pour la comparaison des revenus, dès lors que le recourant a bénéficié d’indemnités journalières entre décembre 2006 et décembre 2008 dans le cadre de la mise en place des mesures d’orientation et de reclassement professionnelles (cf. art. 29 al 2 LAI et 22 LAI). Le revenu d’invalide s’élève ainsi à 4'913 fr. 50 par mois (+ 1.6% en 2007 et + 2.2% en 2008).</w:t>
      </w:r>
    </w:p>
    <w:p>
      <w:r>
        <w:t>A/831/2009 - 12/15 - Comme les salaires bruts standardisés tiennent compte d'un horaire de travail de 40 heures, soit d'une durée hebdomadaire inférieure à la moyenne usuelle dans les entreprises en 2008 (41,6 heures; La Vie économique, 6/2009, p. 86, B9.2), ce montant doit être porté à 5'110 fr. par mois (4'913 fr. 50 x 41.6 :40), soit 61'320 fr. par an.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En l’espèce, l’OCAI a pris en compte un abattement de 10%. Le Tribunal de céans observe à cet égard qu’un abattement de 15% sur le salaire statistique semble plus approprié pour tenir compte des limitations fonctionnelles, qui laissent toutefois subsister une capacité de travail de 100% dans une activité adaptée, des années de service et de l’âge de l’assuré - 60 ans au moment de la décision entreprise (cf. ATF non publié du 15 octobre 2008, 9C_104/08, consid. 4). Le revenu annuel raisonnablement exigible se monte ainsi à 52'122 fr. b) En ce qui concerne le revenu hypothétique sans invalidité, il ressort du questionnaire pour l’employeur, que le recourant, s’il avait été en bonne santé, il aurait réalisé un salaire annuel en 2006 de 71'409 fr (Fr. 5'493 fr. x 13). Actualisé à 2008, le revenu sans invalidité se monte à 74'147 fr, 70 (Évolution des salaires nominaux pour les hommes : + 1.6% en 2007 et + 2.2% en 2008). c) Le recourant présente ainsi tout au plus un degré d’invalidité arrondi de 30% ([74’147 fr. 70 – 52’122 fr.] : 74’147 fr. 70 x 100 = 29.70%), ce qui n’est pas suffisant pour ouvrir le droit à une rente. Il convient d’observer que même avec un abattement de 20% sur le revenu d’invalide (49’056 fr), le degré d’invalidé serait de toute manière inférieur à 40% (34% arrondi). Partant, c’est à juste titre que l’intimé a refusé d’octroyer au recourant une rente d’invalidité.</w:t>
      </w:r>
    </w:p>
    <w:p>
      <w:r>
        <w:rPr>
          <w:b/>
        </w:rPr>
        <w:t>E. 11</w:t>
      </w:r>
    </w:p>
    <w:p>
      <w:r>
        <w:t>S’agissant de l’octroi d’éventuelles mesures professionnelles, le Tribunal de céans observe que le recourant a déjà été mis au bénéfice d’une mesure d’observation et d’orientation professionnelle ainsi que d’un reclassement dans le métier de magasinier - vendeur. Il a d’ailleurs bénéficié pendant deux ans d’indemnités journalières en relation avec ces mesures. A aucun moment, tout au long de cette période, il n’a exprimé une quelconque réserve vis-à-vis de la formation qui lui a été proposée et de son adéquation à son état de santé. En particulier, il n’apparaît pas au dossier que le recourant aurait signalé aux organes de réadaptation que l’activité dans laquelle il était en train d’être reclassé n’était pas compatible avec ses limitations fonctionnelles. Bien au contraire, le recourant a même accepté de suivre des cours informatiques après le stage en entreprise d’une année afin de</w:t>
      </w:r>
    </w:p>
    <w:p>
      <w:r>
        <w:t>A/831/2009 - 13/15 - parfaire sa formation dans le métier pour lequel il était reclassé, soit le magasinage léger. Dans ce contexte, l’octroi d’une nouvelle mesure de reclassement n’apparaît pas justifié compte tenu des mesures de réadaptation déjà octroyées, ainsi que de l’âge du recourant. Cette solution est d’autant plus appropriée que les activités simples et répétitives que le recourant est en tout état de cause susceptible d’exercer ne requièrent pas de formation particulière si ce n’est une mise au courant pratique en entreprise. Enfin, le recourant a déjà bénéficié d’une mesure d’orientation professionnelle en 2007, ayant permis de cerner les postes adaptés à ses limitations fonctionnelles, raison pour laquelle la mise en place d’une nouvelle mesure d’observation n’apparaît pas justifié. Quant à l'aide au placement, les assurés invalides qui sont susceptibles d'être réadaptés ont droit à un soutien actif dans la recherche d'un emploi approprié, et, s'ils en ont déjà un, à un conseil suivi afin de le conserver, selon l'art. 18 al. 1 aLAI. Dans la nouvelle version de cette disposition, depuis le 1er janvier 2008, ce droit est ouvert aux assurés présentant une incapacité de travail et susceptible d'être réadaptés. L'assuré ne doit donc plus nécessairement présenter une invalidité. Selon l'art. 18 al. 2 LAI, dans sa nouvelle teneur, l'office AI procède à un examen sommaire du cas et met en œuvre ces mesures sans délai, si les conditions sont remplies. L'invalidité ouvrant droit au service de placement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 (MEYER-BLASER, op. cit. p. 86 et 124 sv).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 En l’espèce, il apparaît que le recourant rencontre des difficultés pour trouver un travail en raison précisément de son état de santé et de ses limitations fonctionnelles. Il est par ailleurs surprenant qu’après avoir octroyé des mesures professionnelles s’étendant sur de nombreux mois, le service de réadaptation se soit limité, en décembre 2008, à clore le dossier de façon théorique (calcul du taux d’invalidité) en suggérant au recourant de s’annoncer à l’assurance-chômage (cf. rapport final de réadaptation professionnelle du 16 décembre 2008), et ce quand bien même ce même service avait précédemment préconisé de mandater le service de placement à l’issue de la formation (cf. rapport de réadaptation du 20 juin 2008). Dans ces circonstances, il appert qu’à l’issue de la formation, le dossier aurait dû</w:t>
      </w:r>
    </w:p>
    <w:p>
      <w:r>
        <w:t>A/831/2009 - 14/15 - être immédiatement transmis au service de placement, en vue de la réintégration du recourant sur le circuit économique ordinaire. Le recours doit ainsi être admis sur ce point.</w:t>
      </w:r>
    </w:p>
    <w:p>
      <w:r>
        <w:rPr>
          <w:b/>
        </w:rPr>
        <w:t>E. 12</w:t>
      </w:r>
    </w:p>
    <w:p>
      <w:r>
        <w:t>Au vu de ce qui précède, le recours sera très partiellement admis et la décision dont est recours annulée, en tant qu’elle nie au recourant le droit à une mesure d’aide au placement. Elle sera confirmée pour le surplus.</w:t>
      </w:r>
    </w:p>
    <w:p>
      <w:r>
        <w:rPr>
          <w:b/>
        </w:rPr>
        <w:t>E. 13</w:t>
      </w:r>
    </w:p>
    <w:p>
      <w:r>
        <w:t>Le recourant n’obtenant que très partiellement gain de cause, une indemnité de 500 fr. lui sera octroyée à titre de dépens. Quant aux frais de justice, fixés à 200 fr., ils seront supportés par l’intimé qui a omis de compléter le processus de réadaptation.</w:t>
      </w:r>
    </w:p>
    <w:p>
      <w:r>
        <w:t>A/831/2009 - 15/15 -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