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ATAS/917/2023 vom 23. November 2023</w:t>
      </w:r>
    </w:p>
    <w:p>
      <w:r>
        <w:t>GE Cour de justice, 2023-11-23, FR</w:t>
      </w:r>
    </w:p>
    <w:p>
      <w:r>
        <w:rPr>
          <w:b/>
        </w:rPr>
        <w:t xml:space="preserve">Quelle: </w:t>
      </w:r>
      <w:r>
        <w:t>https://mcp.opencaselaw.ch/entscheid/ge_gerichte_ATAS_917_2023</w:t>
      </w:r>
    </w:p>
    <w:p>
      <w:r>
        <w:t>FR: GE_GERICHTE ATAS/917/2023 du 23 novembre 2023</w:t>
      </w:r>
    </w:p>
    <w:p>
      <w:r>
        <w:t>IT: GE_GERICHTE ATAS/917/2023 del 23 novembre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 Interjeté dans les forme et délais prévus par la loi, le recours est recevable. 2. Le litige porte sur le bien-fondé du calcul des prestations complémentaires versées au recourant à compter du 1er septembre 2022. 2.1 La réforme du droit aux prestations complémentaires de la modification du 22 mars 2019 (Réforme des PC) est entrée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2.2 En l’occurrence, l’intimé a repris le calcul des prestations complémentaires dès septembre 2022. Après avoir procédé à la comparaison requise, il a constaté que l’application de l’ancien droit était plus favorable au recourant. Les dispositions légales seront dès lors citées dans leur ancienne teneur. 3.</w:t>
      </w:r>
    </w:p>
    <w:p>
      <w:r>
        <w:t>3.1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w:t>
      </w:r>
    </w:p>
    <w:p>
      <w:r>
        <w:t>A/428/2023 - 5/7 - (art. 11 al. 1 let. c LPC) et les ressources et parts de fortune dont un ayant droit s'est dessaisi (art. 11 al. 1 let. g LPC). 3.2 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est d’un huitième, respectivement d’un cinquième pour les bénéficiaires de rentes de vieillesse, après déduction des franchises prévues par le droit fédéral. 3.3 L’art. 17 OPC-AVS/AI prévoit que la fortune prise en compte doit être évaluée selon les règles de la législation sur l’impôt cantonal direct du canton du domicile (al. 1). 4. La décision de prestations complémentaires du 7 novembre 2022 fait suite à la demande de pièces complémentaires formulée par l’intimé dans le cadre de la procédure de contrôle périodique du dossier initiée par la demande de pièces du 29 août 2022. Elle met à jour les éléments de calcul à partir du 1er septembre 2022 et il en résulte une diminution des prestations. La décision du 6 décembre 2022 fixe le montant des prestations à compter de janvier 2023, sur les mêmes bases. Le recourant conteste de manière générale le montant des prestations qui lui sont allouées, alléguant que cela ne suffit pas à couvrir ses dépenses. Pour le surplus, il évoque, pêle-mêle, le fait que le SPC a retenu dans sa fortune son avoir de prévoyance, dont il estime ne pouvoir disposer, le gain réalisé par son épouse – dont il assure qu’il n’a pas augmenté – et une augmentation de loyer de CHF 200.- survenue le 1er janvier 2023. 4.1 De manière générale, on constatera, à l’instar de l’intimé, que les valeurs retenues dans ses calculs correspondent aux éléments tels qu’ils ressortent de la déclaration fiscale 2021, notamment l’état de la fortune, la valeur de rachat de la police de prévoyance professionnelle, etc. 4.2 Quant à l’avoir de prévoyance, il convient de relever que le recourant, contrairement à ce qu’il allègue, peut en demander le versement en raison de son invalidité, de sorte qu’il convient d’en tenir compte. En effet, en matière de prestations complémentaires, les prestations de la prévoyance professionnelle ne sont pas exigibles seulement lorsque l’ayant droit les réclame, mais déjà à partir du moment où les prestations peuvent être requises. Cette règle s’applique également aux prestations de prévoyance liée. En l’espèce, les plans de calcul tiennent compte dans la fortune déterminante de l’avoir de prévoyance détenu auprès du Crédit Suisse par le recourant, dès lors que celui-ci peut en demander le versement en raison de son invalidité.</w:t>
      </w:r>
    </w:p>
    <w:p>
      <w:r>
        <w:t>A/428/2023 - 6/7 - 4.3 La diminution du montant de la prestation s’explique en partie par la mise à jour des gains d’activité de l’épouse de l’intéressé, selon l’attestation de salaire de l’année 2021. C’est ainsi un montant de CHF 21'149.- qui a été retenu, dont force est de constater qu’il est inférieur à celui de CHF 21'659.- ressortant de l’attestation de salaire produite pour 2022. S’agissant du loyer du recourant, l’intimé a précisé dans la décision litigieuse avoir transmis le dossier à son secteur compétent afin que ce dernier mette à jour le montant du loyer valable à partir du 1er janvier 2023, selon l’avis de majoration établi par la régie le 23 décembre 2022. Cette correction a été effectuée et a donné lieu à une nouvelle décision, en date du 3 février 2023. Pour le surplus, il convient de relever que l’intimé – à juste titre – a tenu compte de la cohabitation du couple avec leur fils et avec le père du bénéficiaire. Par ailleurs, la décision a été mise à jour avec effet au 1er janvier 2023 pour tenir compte de la hausse valable dès cette date et ce par décision du 3 février 2023. 4.4 Eu égard à ce qui précède, il apparaît que les calculs auxquels s’est livré l’intimé ne sont pas critiquables. En conséquence, le recours est rejeté.</w:t>
      </w:r>
    </w:p>
    <w:p>
      <w:r>
        <w:t>A/428/2023 - 7/7 -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w:t>
      </w:r>
    </w:p>
    <w:p>
      <w:r>
        <w:t>A/428/2023 - 4/7 -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