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ATAS/917/2021 vom 1. September 2021</w:t>
      </w:r>
    </w:p>
    <w:p>
      <w:r>
        <w:t>GE Cour de justice, 2021-09-01, FR</w:t>
      </w:r>
    </w:p>
    <w:p>
      <w:r>
        <w:rPr>
          <w:b/>
        </w:rPr>
        <w:t xml:space="preserve">Quelle: </w:t>
      </w:r>
      <w:r>
        <w:t>https://mcp.opencaselaw.ch/entscheid/ge_gerichte_ATAS_917_2021</w:t>
      </w:r>
    </w:p>
    <w:p>
      <w:r>
        <w:t>FR: GE_GERICHTE ATAS/917/2021 du 1 septembre 2021</w:t>
      </w:r>
    </w:p>
    <w:p>
      <w:r>
        <w:t>IT: GE_GERICHTE ATAS/917/2021 del 1 settembre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A/1651/2020 - 11/18 -</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Toutefois, dans la mesure où le recours était pendant, au 1er janvier 2021, devant la chambre de céans, il reste soumis à l'ancien droit (cf. art. 83 LPGA).</w:t>
      </w:r>
    </w:p>
    <w:p>
      <w:r>
        <w:rPr>
          <w:b/>
        </w:rPr>
        <w:t>E. 4</w:t>
      </w:r>
    </w:p>
    <w:p>
      <w:r>
        <w:t>Le délai de recours est de trente jours (art. 56 LPGA; art. 62 al. 1 de la de loi sur la procédure administrative du 12 septembre 1985 [LPA - E 5 10]). Interjeté dans la forme et le délai prévus par la loi, le recours est recevable.</w:t>
      </w:r>
    </w:p>
    <w:p>
      <w:r>
        <w:rPr>
          <w:b/>
        </w:rPr>
        <w:t>E. 5</w:t>
      </w:r>
    </w:p>
    <w:p>
      <w:r>
        <w:t>Le litige porte sur le droit du recourant aux prestations de l’assurance-invalidité.</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w:t>
      </w:r>
    </w:p>
    <w:p>
      <w:r>
        <w:t>A/1651/2020 - 12/18 -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ATF 130 V 396 consid. 5.3 et 6).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w:t>
      </w:r>
    </w:p>
    <w:p>
      <w:r>
        <w:rPr>
          <w:b/>
        </w:rPr>
        <w:t>E. 8</w:t>
      </w:r>
    </w:p>
    <w:p>
      <w:r>
        <w:t>La jurisprudence a retenu dans des causes relevant de l'assurance-invalidité que tant que l'état de santé de l’assuré n'est pas stabilisé, l'examen porte sur la capacité de travail dans l'activité habituelle, et qu’il doit porter sur la capacité de travail exigible dans une activité adaptée depuis sa stabilisation (arrêt du Tribunal fédéral 9C_881/2010 du 23 août 2011 consid. 3.2; ATAS/56/2016 du 27 janvier 2016 consid. 10; cf. également ATAS/784/2016 du 29 septembre 2016 consid. 11). Dans l’arrêt 9C_881/2019 précité, le Tribunal fédéral a considéré que dans la mesure où il était établi par un rapport médical qu'au niveau du genou gauche et de l'épaule gauche de l’assuré, la situation ne s'était pas modifiée d'une manière essentielle depuis une année, il était raisonnable d'admettre que la situation était stabilisée. Il en allait de même en ce qui concerne la cheville gauche, sept mois après une fracture non déplacée de la malléole interne. Selon l’ATAS/56/2016 précité, si un état stationnaire peut être considéré comme étant stabilisé, il n’en va pas de même lorsque des mesures médicales sont préconisées (arrêt du Tribunal fédéral des assurances U 490/05 du 22 novembre 2006 consid. 2.1). Dans un arrêt 9C_839/2017 du 24 avril 2018, le Tribunal fédéral a jugé que le fait que le recourant avait subi une intervention chirurgicale au poignet droit postérieurement au prononcé administratif et que cette intervention était apparemment liée à des séquelles de l'accident en cause ne suffisait pas pour rendre</w:t>
      </w:r>
    </w:p>
    <w:p>
      <w:r>
        <w:t>A/1651/2020 - 13/18 - vraisemblable qu'elle aurait été de nature à influencer l'appréciation des atteintes à la santé du recourant au moment du prononcé de la décision litigieuse. En instance cantonale, le recourant n'avait produit aucun rapport relatif à cette opération et qui aurait établi que son état de santé n'était pas stabilisé au moment de la décision. De plus un médecin avait déjà pris en compte la nécessité d'une telle intervention qui avait selon lui pour seul objectif de diminuer les douleurs résiduelles ressenties par le recourant à son poignet droit mais pas d'en améliorer la fonction.</w:t>
      </w:r>
    </w:p>
    <w:p>
      <w:r>
        <w:rPr>
          <w:b/>
        </w:rPr>
        <w:t>E. 9</w:t>
      </w:r>
    </w:p>
    <w:p>
      <w:r>
        <w:t>9.1.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w:t>
      </w:r>
    </w:p>
    <w:p>
      <w:r>
        <w:rPr>
          <w:b/>
        </w:rPr>
        <w:t>E. 9.2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w:t>
      </w:r>
    </w:p>
    <w:p>
      <w:r>
        <w:rPr>
          <w:b/>
        </w:rPr>
        <w:t>E. 9.3</w:t>
      </w:r>
    </w:p>
    <w:p>
      <w:r>
        <w:t>Sans remettre en cause le principe de la libre appréciation des preuves, le Tribunal fédéral des assurances a posé des lignes directrices en ce qui concerne la manière d'apprécier certains types d'expertises ou de rapports médicaux.</w:t>
      </w:r>
    </w:p>
    <w:p>
      <w:r>
        <w:t>A/1651/2020 - 14/18 -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w:t>
      </w:r>
    </w:p>
    <w:p>
      <w:r>
        <w:t>A/1651/2020 - 15/18 - sociales, un principe selon lequel l’administration ou le juge devrait statuer, dans le doute, en faveur de l’assuré (ATF 126 V 319 consid. 5a).</w:t>
      </w:r>
    </w:p>
    <w:p>
      <w:r>
        <w:rPr>
          <w:b/>
        </w:rPr>
        <w:t>E. 11</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12</w:t>
      </w:r>
    </w:p>
    <w:p>
      <w:r>
        <w:t>12.1. En l’espèce, l’intimé a retenu dans la décision querellée que le recourant était totalement capable de travailler dans une activité adaptée à l’issue du délai d’attente, soit le 17 septembre 2016, en se fondant sur l’expertise du SMEX du 18 mars 2019. Il convient de déterminer en premier lieu la valeur probante de cette dernière.</w:t>
      </w:r>
    </w:p>
    <w:p>
      <w:r>
        <w:rPr>
          <w:b/>
        </w:rPr>
        <w:t>E. 12.2</w:t>
      </w:r>
    </w:p>
    <w:p>
      <w:r>
        <w:t>Sur le plan psychiatrique, il faut relever que ce rapport ne mentionne pas le rapport établi le 11 février 2019 par le Dr H______, qui ne figurait sans doute pas encore au dossier qui a été transmis aux experts. Il est regrettable que l’expert psychiatre ait jugé inutile de recourir à des informations fournies par des tiers, comme il l’a indiqué dans son rapport, car l’appréciation du Dr H______, qui suivait le recourant depuis avril 2018, était nécessaire à une bonne compréhension de son état de santé sur le plan psychiatrique. Or, selon le psychiatre traitant, le recourant souffrait d’un épisode dépressif moyen et toute reprise de travail semblait impossible actuellement, contrairement à l’appréciation de l’expert psychiatre, qui a retenu un diagnostic de trouble mixte de la personnalité non incapacitant. Il en résulte que le rapport d’expertise du SMEX ne peut se voir reconnaître une pleine valeur probante sur le plan psychiatrique. Il n’y a toutefois pas lieu de procéder à une instruction complémentaire, dès lors que le recourant doit se voir reconnaître le droit à une rente entière d’invalidité en raison de son atteinte orthopédique.</w:t>
      </w:r>
    </w:p>
    <w:p>
      <w:r>
        <w:rPr>
          <w:b/>
        </w:rPr>
        <w:t>E. 12.3</w:t>
      </w:r>
    </w:p>
    <w:p>
      <w:r>
        <w:t>Sur le plan orthopédique, l’expert du SMEX a retenu que le recourant était totalement incapable de travailler dans son activité habituelle depuis l’accident du</w:t>
      </w:r>
    </w:p>
    <w:p>
      <w:r>
        <w:rPr>
          <w:b/>
        </w:rPr>
        <w:t>E. 12.4</w:t>
      </w:r>
    </w:p>
    <w:p>
      <w:r>
        <w:t>Les experts n’ont pas discuté de la stabilisation de l’état de santé du recourant. Au vu de l’évolution du cas, l’intimé ne pouvait pas retenir dans sa décision du 14 mai 2020 que l’état de santé du recourant était stabilisé entre le 1er décembre 2016 au 28 février 2018. Certes, le Centre de Chirurgie &amp; Thérapie de la main a considéré le 1er décembre 2016 qu’il n’y avait pas de chirurgie à proposer au recourant, mais le rapport de la Consultation ambulatoire de la douleur du 24 mars 2017 indiquait, en substance, que l’état de santé du recourant allait en s’aggravant (canal carpien à droite) et que si des réserves étaient émises au sujet d’une opération, un tel acte ne serait n’était exclu en cas d’échec du traitement conservateur. De plus, le 8 septembre 2017, la Dresse F______ a décidé d’organiser une nouvelle arthro-IRM pour faire un bilan et décider si une prise en charge chirurgicale se justifiait et le recourant a finalement été opéré le 15 mars 2018. Dans ces circonstances, l’intimé ne pouvait pas considérer, le 14 mai 2020, que l’état de santé du recourant était stabilisé entre le 1er décembre 2016 et le 28 février 2018. S’agissant de la période courant dès mi-juin 2018, la Dresse F______ estimait, dans son rapport du 4 septembre 2018, qu’une reprise du travail (reconversion) était précoce et qu’un examen médical complémentaire était nécessaire pour évaluer les conséquences de l’atteinte à la santé sur sa capacité de travail. Le 6 février 2019, la Dresse F______ mentionnait une évolution défavorable dans les suites de la prothèse RCPI au niveau du poignet gauche de l’assuré avec une raideur articulaire qui était majeure et proposait une arthrodèse du poignet. Selon un rapport établi par les HUG le 7 novembre 2019, une arthroplastie totale du poignet gauche a été effectuée le 17 septembre 2019. Un arrêt de travail pour maladie a établi le 23 mars 2020 par le Dr K______, qui indiquait que le recourant était en incapacité de travail depuis le 19 septembre 2019, date de la mise en place d’une prothèse de poignet à gauche, jusqu’à ce jour. Il en résulte que l’intimé ne pouvait pas retenir sur la base des pièces au dossier que l’état de santé du recourant était stabilisé dès mi-juin 2018 dans sa décision du 14 mai 2020. En conséquence, c’est à tort que l’intimé a pris en compte la capacité de travail résiduelle du recourant pour déterminer son taux d’invalidité. Il aurait en effet dû, à teneur de la jurisprudence, se fonder uniquement sur sa capacité de travail dans son activité habituelle. Il est établi en l’espèce que le recourant a été totalement incapable de travailler depuis le 18 septembre 2015, ce qui lui ouvre le droit à une rente entière d’invalidité dès le 1er septembre 2016, étant précisé qu’il a demandé les prestations de l’assurance-invalidité le 15 mars 2016, soit le premier jour du mois pendant lequel le droit à la rente et à son versement a pris naissance (art. 28 al. 1 et 29 al. 1 et 3 LAI). 13. En conséquence, le recours sera admis, la décision querellée annulée et il sera dit que le recourant a droit à une rente entière d’invalidité dès le 1er septembre 2016. 14. Selon l'art. 61 let. g LPGA, le recourant qui obtient gain de cause a droit au remboursement de ses frais et dépens. L'assuré qui agit dans sa propre cause sans</w:t>
      </w:r>
    </w:p>
    <w:p>
      <w:r>
        <w:t>A/1651/2020 - 17/18 - l'assistance d'un avocat n'a droit à des dépens que si la complexité et l'importance de son affaire exige un investissement en temps et en argent qui dépasse le cadre de ce qu'un individu doit normalement assumer dans la gestion de ses affaires (cf. ATF 133 III 439 consid. 4 p. 446; 115 Ia 12 consid. 5 p. 21; 110 V 72 consid. 7 p. 81; 135 V 473 consid. 3.3 p. 473; arrêt du Tribunal fédéral 9C_62/2015 du</w:t>
      </w:r>
    </w:p>
    <w:p>
      <w:r>
        <w:rPr>
          <w:b/>
        </w:rPr>
        <w:t>E. 17</w:t>
      </w:r>
    </w:p>
    <w:p>
      <w:r>
        <w:t>septembre 2015. Cette conclusion n’est pas contestée et est convaincante, à teneur du dossier. Dans cette mesure, le rapport d’expertise doit se voir reconnaître une pleine valeur probante. La question du bien-fondé de l’évaluation par l’expert de la capacité de travail dans une activité adaptée peut rester ouverte, dès lors qu’il sera démontré ci-après que l’état de santé du recourant n’a pas été stabilisé depuis son accident jusqu’au moment où a été rendue la décision querellée, de sorte que seule la capacité de travail dans l’activité habituelle devait être prise en compte pour fixer le taux d’invalidité.</w:t>
      </w:r>
    </w:p>
    <w:p>
      <w:r>
        <w:t>A/1651/2020 - 16/18 -</w:t>
      </w:r>
    </w:p>
    <w:p>
      <w:r>
        <w:rPr>
          <w:b/>
        </w:rPr>
        <w:t>E. 20</w:t>
      </w:r>
    </w:p>
    <w:p>
      <w:r>
        <w:t>novembre 2015 consid. 6.2). En l’espèce, le recourant a rédigé lui-même ses écritures et a comparu seul à l’audience de comparution personnelle. Il a indiqué à cette occasion que son conseil l’avait aidé à rédiger son recours et que celui-ci ne se présentait pas l’audience pour des raisons financières. Il se justifie dans ces circonstances d’octroyer au recourant une indemnité de CHF 1’000.- à titre de participation à ses frais et dépens (art. 61 let. g LPGA; art. 6 du règlement sur les frais, émoluments et indemnités en matière administrative du 30 juillet 1986 [RFPA - E 5 10.03]). 15. Au vu du sort du recours, il y a lieu de condamner l'intimé au paiement d'un émolument de CHF 200.- (art. 69 al. 1bis LAI).</w:t>
      </w:r>
    </w:p>
    <w:p>
      <w:r>
        <w:t>A/1651/2020 - 18/18 -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