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ATAS/917/2014 vom 20. August 2014</w:t>
      </w:r>
    </w:p>
    <w:p>
      <w:r>
        <w:t>GE Cour de justice, 2014-08-20, FR</w:t>
      </w:r>
    </w:p>
    <w:p>
      <w:r>
        <w:rPr>
          <w:b/>
        </w:rPr>
        <w:t xml:space="preserve">Quelle: </w:t>
      </w:r>
      <w:r>
        <w:t>https://mcp.opencaselaw.ch/entscheid/ge_gerichte_ATAS_917_2014</w:t>
      </w:r>
    </w:p>
    <w:p>
      <w:r>
        <w:t>FR: GE_GERICHTE ATAS/917/2014 du 20 août 2014</w:t>
      </w:r>
    </w:p>
    <w:p>
      <w:r>
        <w:t>IT: GE_GERICHTE ATAS/917/2014 del 20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w:t>
      </w:r>
    </w:p>
    <w:p>
      <w:r>
        <w:t>A/3819/2013 - 12/22 -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La décision litigieuse ayant été envoyée par courrier simple, et le recourant affirmant l’avoir reçue le 26 octobre 2013, le recours, adressé à la chambre de céans le 25 novembre 2013 selon le timbre postal, a été interjeté dans la forme et le délai prévus par la loi. Il est donc recevable, en vertu des art. 56ss LPGA.</w:t>
      </w:r>
    </w:p>
    <w:p>
      <w:r>
        <w:rPr>
          <w:b/>
        </w:rPr>
        <w:t>E. 5</w:t>
      </w:r>
    </w:p>
    <w:p>
      <w:r>
        <w:t>Le litige porte sur le droit de l’assuré à des prestations de l’assurance-invalidité, respectivement sa capacité de travail.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w:t>
      </w:r>
    </w:p>
    <w:p>
      <w:r>
        <w:t>A/3819/2013 - 13/22 -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(ATAS/797/2014 du 27.06.2014 ; ATAS/466/2014 du 02.04.2014 ; ATAS/433/2014 du 26.03.2014).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A/3819/2013 - 14/22 -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dans la mesure où le recourant a déposé sa demande de prestations au mois de novembre 2010 en raison d’atteintes à la santé ayant engendré une incapacité de travail depuis le mois d’avril 2010, il convient de se placer en 2011 pour procéder à la comparaison des revenus. S’agissant du revenu sans invalidité, c’est à bon droit que l’intimé s’est basé sur le dernier salaire perçu par le recourant, soit un salaire mensuel de CHF 5'200.- et annuel de CHF 67'600.- (CHF 5'600.- x 13) en 2010. Ce montant doit être indexé à 2011 selon l’évolution des salaires pour les hommes en termes nominaux (2010 : 2’151 et 2011 : 2'171 ; Évolution des salaires nominaux, des prix à la consommation et des salaires réels, 1976-2011), ce qui donne un revenu sans invalidité de CHF 68'229.-. Concernant le revenu avec invalidité, c’est également à bon droit que l’intimé a pris, comme salaire de référence, celui auquel peuvent prétendre les hommes effectuant des activités simples et répétitives (niveau de qualification 4) dans le</w:t>
      </w:r>
    </w:p>
    <w:p>
      <w:r>
        <w:t>A/3819/2013 - 19/22 - secteur privé selon le tableau TA1 de l’ESS 2010, à savoir un salaire mensuel de CHF 4'901.-, soit un salaire annuel de CHF 58'812.- (CHF 4'901 x 12). Au regard du large éventail d’activités simples et répétitives que recouvrent les secteurs de la production et des services, on doit en effet convenir qu’un certain nombre d’entre elles sont légères et adaptées aux limitations du recourant. Comme les salaires bruts standardisés tiennent compte d’un horaire de travail de quarante heures, soit une durée hebdomadaire inférieure à la moyenne usuelle dans les entreprises en 2011 (et non 2010 comme retenu par l’intimé) de 41,7 heures, ce montant doit être porté à CHF 61'312.- (CHF 58'812.- x 41,7 /40). Enfin, ce montant doit être indexé à 2011, ce qui porte le salaire annuel à CHF 61'882.-. et non CHF 61'733.- comme retenu par l’intimé. L’intimé a tenu compte d’une réduction de 15% en raison des limitations fonctionnelles du recourant. Etant rappelé que le juge ne peut, sans motif pertinent, substituer son appréciation à celle de l’administration, le salaire d’invalide est fixé à CHF 52'600.- après calcul de l’abattement de 15%, ce qui donne un degré d’invalidité de 22.9 % (CHF 68'229 - CHF 52'600 / CHF 68'229 x 100), soit 23% selon la jurisprudence mentionnée plus haut. La chambre de céans notera à toutes fins utiles que même dans l’hypothèse où un abattement de 25% avait été retenu, le degré d’invalide du recourant n’aurait été que de 32%, soit un degré d’invalidité insuffisant pour lui ouvrir le droit à une rente. Partant, le taux de 23% retenu par l’intimé est confirmé, de sorte que c’est à bon droit que ce dernier a nié au recourant un droit à une rente.</w:t>
      </w:r>
    </w:p>
    <w:p>
      <w:r>
        <w:rPr>
          <w:b/>
        </w:rPr>
        <w:t>E. 11</w:t>
      </w:r>
    </w:p>
    <w:p>
      <w:r>
        <w:t>Reste à examiner le droit du recourant à des mesures professionnelles. 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du 17 janvier 1961 sur l’assurance- 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w:t>
      </w:r>
    </w:p>
    <w:p>
      <w:r>
        <w:t>A/3819/2013 - 20/22 -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I 170/06 du 16 février 2007 consid. 3.2 et 3.4). Conformément aux principes susmentionnés, un degré d’invalidité de plus de 20% ouvre le droit à des mesures de reclassement. Or, l’intimé ne s’est pas du tout prononcé sur cette question, se contentant d’indiquer que vu l’absence prolongée du recourant lors du stage au sein de l’entreprise Pro, son service de réadaptation avait conclu à la non pertinence de la poursuite dudit stage. La chambre de céans soulignera tout d’abord que la décision litigieuse ne prononce pas formellement l’interruption de ce stage. Par ailleurs, elle rappellera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I 605/04 du 11 janvier 2005 consid. 2 et les</w:t>
      </w:r>
    </w:p>
    <w:p>
      <w:r>
        <w:t>A/3819/2013 - 21/22 - références, publié in SVR 2005 IV n° 30 p. 113; voir également arrêt du Tribunal fédéral I 552/06 du 13 juin 2006 consid. 4). Certes, en l’espèce, le recourant n’a été présent que durant quatre jours au sein de l’entreprise Pro. Cependant, cet élément ne suffit pas à conclure à un manque de faculté subjective de reclassement du recourant, qui permettrait de considérer que les mesures d’ordre professionnel seraient vouées à l’échec, ce d’autant plus que ce dernier a confirmé, en audience de comparution personnelle, qu’il souhaitait retravailler. En tout état de cause, l’OAI n’a pas procédé à la sommation légale. A cet égard, il sera précisé que bien que le rapport d’évaluation de l’entreprise Pro du 6 février 2013 fasse état de contacts entre l’intimé et le recourant suite à l’absence de ce dernier lors du stage, aucune note téléphonique relatant cet entretien ne figure au dossier. Quoi qu’il en soit, la mise en demeure mentionnée ci-dessus aurait dû être écrite, comme précisé expressément par l’art. 21 al. 4 LPGA. De ce fait, la cause devra être renvoyée à l’intimée pour qu’il procède conformément à l’art. 21 al. 4 LPGA, avant de statuer formellement sur le droit aux mesures d’ordre professionnel en fonction de la suite que le recourant aura donné à cette mise en demeure.</w:t>
      </w:r>
    </w:p>
    <w:p>
      <w:r>
        <w:rPr>
          <w:b/>
        </w:rPr>
        <w:t>E. 12</w:t>
      </w:r>
    </w:p>
    <w:p>
      <w:r>
        <w:t>Eu égard à ce qui précède, le recours est partiellement admis au sens des considérants. Le recourant, qui n’est pas représenté, n’a pas droit à des dépens (art. 61 let. g LPGA). La procédure n’étant pas gratuite en matière d’assurance-invalidité, l’intimé supportera un émolument de CHF 200.- (art. 69 al. 1 bis LAI).</w:t>
      </w:r>
    </w:p>
    <w:p>
      <w:r>
        <w:t>A/3819/2013 - 22/22 -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