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ATAS/917/2013 vom 24. September 2013</w:t>
      </w:r>
    </w:p>
    <w:p>
      <w:r>
        <w:t>GE Cour de justice, 2013-09-24, FR</w:t>
      </w:r>
    </w:p>
    <w:p>
      <w:r>
        <w:rPr>
          <w:b/>
        </w:rPr>
        <w:t xml:space="preserve">Quelle: </w:t>
      </w:r>
      <w:r>
        <w:t>https://mcp.opencaselaw.ch/entscheid/ge_gerichte_ATAS_917_2013</w:t>
      </w:r>
    </w:p>
    <w:p>
      <w:r>
        <w:t>FR: GE_GERICHTE ATAS/917/2013 du 24 septembre 2013</w:t>
      </w:r>
    </w:p>
    <w:p>
      <w:r>
        <w:t>IT: GE_GERICHTE ATAS/917/2013 del 24 settembre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a) 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b) Selon le message du Conseil fédéral, seuls les soldes positifs seront pris en compte. Si les prestations de sortie ont diminué durant le mariage, par exemple en raison d'un versement en espèces qui entre dans les régimes matrimoniaux, ce solde négatif n'est pas pris en considération. Une réduction peut également résulter d'un manque de liquidités de l'institution de prévoyance professionnelle. Ainsi, lorsqu'un versement en espèces a eu lieu durant le mariage, il diminue la prestation de sortie existant au moment du divorce. Il n'est pas nécessaire d'en tenir compte. Le montant correspondant est exclu du système de la prévoyance professionnelle (FF 1996 I pages 106 et 110). c) Alors que dans le cas d'un paiement en espèces, le montant correspondant n'entre plus dans le partage de la prévoyance, la loi prévoit expressément qu'il faut considérer comme étant encore à disposition et à partager les valeurs patrimoniales issues du 2ème pilier et qui ont été investies dans l'acquisition de la propriété du logement destiné à un usage propre (art. 30 c al. 6 LPP). Toutefois, si le bien-fonds a été aliéné durant la durée du mariage, sans générer un produit qui aurait pu être</w:t>
      </w:r>
    </w:p>
    <w:p>
      <w:r>
        <w:t>A/1790/2013 4/6 sujet à remboursement, le montant correspondant ne peut et ne doit pas non plus être pris en compte dans le partage de la prévoyance au sens de l'art. 122 CC (Thomas GEISER, LPP et LFLP 2010, page 1586). Il est possible que, dans le cadre d'une institution de prévoyance qui devient insolvable, la prestation de sortie soit considérablement réduite. Dans la mesure où seuls les avoirs effectivement disponibles sont à partager, les conjoints supportent ensemble les conséquences d'une telle insolvabilité, lorsque l'avoir acquis par un des conjoints pendant la durée du mariage s'avère négatif (GEISER, op. cit., page 1587).</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 En l'espèce, cette question ne se pose pas, aucun avoir n'ayant été accumulé avant le mariage.</w:t>
      </w:r>
    </w:p>
    <w:p>
      <w:r>
        <w:rPr>
          <w:b/>
        </w:rPr>
        <w:t>E. 4</w:t>
      </w:r>
    </w:p>
    <w:p>
      <w:r>
        <w:t>Une institution de prévoyance peut compenser les cotisations dues par une société employeuse faillie affiliée auprès d'elle avec la prestation de sortie due à l'ex- administrateur de la société (arrêts du Tribunal fédéral 9C_366/2008; 9C_203/2007; ATAS 278/2007).</w:t>
      </w:r>
    </w:p>
    <w:p>
      <w:r>
        <w:rPr>
          <w:b/>
        </w:rPr>
        <w:t>E. 5</w:t>
      </w:r>
    </w:p>
    <w:p>
      <w:r>
        <w:t>En l’espèce, le juge de première instance a ordonné le partage par moitié des prestations de sortie acquises durant le mariage par le demandeur uniquement. Les dates pertinentes sont, d’une part, celle du mariage, le 10 mars 1977, d’autre part le 15 septembre 2012, date à laquelle le jugement de divorce est devenu exécutoire. Selon les documents produits, la prestation acquise pendant le mariage par le demandeur était de 59'678 fr. 55 au 30 juin 2010, sans compter les intérêts courus jusqu'au divorce, dont 40'474 fr. 40 ont été déduits par la caisse, en compensation avec sa créance contre l'assuré pour les cotisations impayées par son entreprise pour les salariés. Ainsi, le capital disponible est réduit à 19'204 fr. 15 et, avec les intérêts jusqu'au divorce, il s'élève 21'839 fr. 95. Dans la mesure où, selon les travaux préparatoires et la doctrine, seuls les avoirs encore existants au moment du mariage peuvent être partagés, il y a lieu de tenir compte de ce dernier montant et non pas de la prestation acquise avant compensation.</w:t>
      </w:r>
    </w:p>
    <w:p>
      <w:r>
        <w:rPr>
          <w:b/>
        </w:rPr>
        <w:t>E. 6</w:t>
      </w:r>
    </w:p>
    <w:p>
      <w:r>
        <w:t>Ainsi le demandeur doit à son ex-épouse le montant de 10'920 fr. ( 21'839 fr.95 : 2).</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w:t>
      </w:r>
    </w:p>
    <w:p>
      <w:r>
        <w:t>A/1790/2013 5/6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A/1790/2013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