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ATAS/916/2024 vom 26. November 2024</w:t>
      </w:r>
    </w:p>
    <w:p>
      <w:r>
        <w:t>GE Cour de justice, 2024-11-26, FR</w:t>
      </w:r>
    </w:p>
    <w:p>
      <w:r>
        <w:rPr>
          <w:b/>
        </w:rPr>
        <w:t xml:space="preserve">Quelle: </w:t>
      </w:r>
      <w:r>
        <w:t>https://mcp.opencaselaw.ch/entscheid/ge_gerichte_ATAS_916_2024</w:t>
      </w:r>
    </w:p>
    <w:p>
      <w:r>
        <w:t>FR: GE_GERICHTE ATAS/916/2024 du 26 novembre 2024</w:t>
      </w:r>
    </w:p>
    <w:p>
      <w:r>
        <w:t>IT: GE_GERICHTE ATAS/916/2024 del 26 novembre 2024</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en temps utile, le recours est recevable (art. 60 al. 1 LPGA).</w:t>
      </w:r>
    </w:p>
    <w:p>
      <w:r>
        <w:rPr>
          <w:b/>
        </w:rPr>
        <w:t>E. 2</w:t>
      </w:r>
    </w:p>
    <w:p>
      <w:r>
        <w:t>Le litige porte sur la compensation de CHF 500.- par mois sur la rente AVS du recourant, singulièrement sur la question de savoir si cette compensation porte atteinte au minimum vital de ce dernier.</w:t>
      </w:r>
    </w:p>
    <w:p>
      <w:r>
        <w:rPr>
          <w:b/>
        </w:rPr>
        <w:t>E. 3.1</w:t>
      </w:r>
    </w:p>
    <w:p>
      <w:r>
        <w:t>En principe, le droit aux rentes est soustrait à toute exécution forcée (art. 20 al. 1 LAVS). Toutefois, aux termes de l'art. 20 al. 2 let. a LAVS, les créances découlant de la LAVS peuvent être compensées avec des prestations échues. Contrairement à la</w:t>
      </w:r>
    </w:p>
    <w:p>
      <w:r>
        <w:t>A/1535/2024 - 4/7 -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références citées). La compensation opérée avec une rente mensuelle n'est toutefois possible que dans la mesure où le montant retenu sur la rente mensuelle ne touche pas le minimum vital de la personne tenue à restitution (ATF 128 V 50 consid. 4a).</w:t>
      </w:r>
    </w:p>
    <w:p>
      <w:r>
        <w:rPr>
          <w:b/>
        </w:rPr>
        <w:t>E. 3.2</w:t>
      </w:r>
    </w:p>
    <w:p>
      <w:r>
        <w:t>En raison de la nature des créances qui sont en jeu et compte tenu de l’art. 125 ch. 2 de la loi fédérale complétant le Code civil suisse, du 30 mars 1911 (CO ‑ RS 220), la créance d'une institution de sécurité sociale ne peut être compensée avec une prestation due à un assuré, si de ce fait les ressources de celui-ci descendent au-dessous du minimum vital au sens de l'art. 93 de la loi fédérale sur la poursuite pour dettes et la faillite, du 11 avril 1889 (LP - RS 281.1 ; ATF 138 V 235 consid. 7.2 ; 136 V 286 consid. 6.1 ; 130 V 505 consid. 2.4 ; 128 V 50 consid. 4a ; 115 V 341 consid. 2c ; 113 V 280 consid. 5b ; 111 V 99 consid. 3b ; 107 V 72 consid. 2 ; arrêt du Tribunal fédéral 9C_300/2013 du 14 novembre 2013 consid. 2.1 et les références). Pour le calcul du minimum vital de l'assuré, il convient d'appliquer les règles du droit des poursuites (ATF 131 V 252 consid. 1.2 ; 115 V 343 consid. 2c). L'art. 93 al. 1 LP prévoit que les biens relativement saisissables, tels que les pensions et prestations de toutes sortes destinées notamment à couvrir une perte de gain, ne peuvent être saisis que déduction faite de ce que le préposé estime indispensable au débiteur et à sa famille (minimum vital). Cette disposition garantit à ces derniers la possibilité de mener une existence décente, sans toutefois les protéger contre la perte des commodités de la vie ; elle vise à empêcher que l'exécution forcée ne porte atteinte à leurs intérêts fondamentaux, ne les menace dans leur vie ou leur santé ou ne leur interdise tout contact avec le monde extérieur. Les besoins du poursuivi et de sa famille reconnus par la jurisprudence sont ceux d'un poursuivi moyen et des membres d'une famille moyenne, c'est-à- dire du type le plus courant. Ils doivent toutefois tenir compte des circonstances objectives, et non subjectives, particulières au poursuivi (ATF 134 III 323 consid. 2, JT 2008 II 328 ; 108 III 60 consid. 3, JT 1984 II 95 ; arrêt du Tribunal fédéral 7B.77/2002 du 21 juin 2002 consid. 2.1 ; Michel OCHSNER, Le minimum vital [art. 93 al. 1 LP] in SJ 2012 II 119, spéc. p. 126). La détermination du minimum indispensable est une question d'appréciation (ATF 134 III 323 consid. 2). Même s'il existe un pouvoir d'appréciation étendu pour tenir compte des spécificités du cas d'espèce, l'application des normes d'insaisissabilité édictées par les autorités cantonales de surveillance, complétées par la jurisprudence, permet d'assurer dans une large mesure le respect du principe d'égalité entre débiteurs réduits au minimum vital en fonction de leur situation particulière (OCHSNER, Commentaire romand de la loi fédérale sur la poursuite pour dettes et la faillite, n. 75-79 ad art. 93 LP).</w:t>
      </w:r>
    </w:p>
    <w:p>
      <w:r>
        <w:t>A/1535/2024 - 5/7 - D'un point de vue temporel, l'examen du minimum vital nécessite que l'on se place au moment où le recourant doit s'acquitter de sa dette, soit au plus tard au moment de la décision de compensation litigieuse (ATF 113 V 254 consid. 4b ; 104 V 61). Le juge des assurances sociales peut cependant exceptionnellement tenir compte de faits nouveaux, postérieurs au prononcé de la décision de la caisse (ATF 104 V 61). Les caisses doivent élucider avec précision la situation personnelle de l'intéressé (la fortune et les revenus effectifs, coûts de soutien et de formation). L’élément déterminant est l’ensemble de la situation économique de l'intéressé, y compris le revenu et la fortune du conjoint, respectivement du partenaire enregistré, et des personnes [enfants] qui font ménage commun avec lui (DIN 3043 et not. RCC 1981 p. 516 et ATF 120 V 271 consid. 5cc). Les normes d'insaisissabilité pour l'année 2024 (NI-2024) prévoient que, dans le canton de Genève, le montant de base mensuel pour un couple marié s’élève à CHF 1'700.- (E 3 60.04). Lors du calcul du minimum vital, la dette de cotisations n'est pas prise en compte; les intérêts passifs ne sont pas déductibles, sauf s'il s'agit d'intérêts hypothécaires en relation avec le logement du débiteur ou d'autres besoins vitaux de celui-ci; les revenus et la fortune du conjoint sont pris en compte (ATF 120 V 274 consid. 5a; arrêt du Tribunal fédéral H 66/03 du 28 avril 2003).</w:t>
      </w:r>
    </w:p>
    <w:p>
      <w:r>
        <w:rPr>
          <w:b/>
        </w:rPr>
        <w:t>E. 3.3</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et les références). Aussi n’existe-t-il pas, en droit des assurances sociales, un principe selon lequel l’administration ou le juge devrait statuer, dans le doute, en faveur de l'intéressé (ATF 126 V 319 consid. 5a). Par ailleurs, la procédure est régie par le principe inquisitoire, selon lequel les faits pertinents de la cause doivent être constatés d'office par le juge, respectivement l'administration. Ce principe n'est toutefois pas absolu ; sa portée est restreinte par le devoir des parties de collaborer à l'instruction de l'affaire (ATF 122 V 157 consid. 1a), lequel comprend en particulier l'obligation pour les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citées).</w:t>
      </w:r>
    </w:p>
    <w:p>
      <w:r>
        <w:rPr>
          <w:b/>
        </w:rPr>
        <w:t>E. 4</w:t>
      </w:r>
    </w:p>
    <w:p>
      <w:r>
        <w:t>Le recourant conteste la prise en compte des charges et revenus de son épouse dans le calcul du minimum vital et fait valoir qu’après paiement de ses charges</w:t>
      </w:r>
    </w:p>
    <w:p>
      <w:r>
        <w:t>A/1535/2024 - 6/7 - sont disponible par mois est de CHF 74.- (soit CHF 1'766.- (rente) - [CHF 850.- (minimum vital) + CHF 491.- (loyer) + CHF 251.85 (prime d’assurance) + CHF 100.- (frais médicaux non remboursés)] = CHF 74.-). C’est pourtant conformément à l’art. 93 LP applicable aux créances de prestations sociales (cf. consid. 3.2 supra) que l’intimée a établi la retenue litigieuse en se fondant sur les charges et ressources du couple marié selon les normes d’insaisissabilité édictées par la Chambre de surveillance des Offices des poursuites et des faillites. Son calcul comprend dès lors à juste titre les charges d’un couple (le minimum vital (CHF 1'700.-), le loyer (CHF 982.-), les primes d’assurance-maladie (CHF 411.85 et CHF 474.95), les frais de repas et médicaux (CHF 352.10), les impôts (CHF 1'169.-) et la prime d’assurance-vie (CHF 200.-), soit un montant de CHF 5'289.90 par mois) et les revenus d’un couple (les deux rentes AVS du couple (CHF 1'811.- + CHF 1'864.-), la rente LPP de l’épouse (CHF 3'632.65), les subsides (CHF 160.- x 2), soit un total de CHF 7'627.65). Le solde disponible étant de CHF 2'337.75, la saisie de CHF 500.- par mois sur la rente AVS n’entrave pas le minimum vital du recourant, quand bien même l’épouse du recourant est touchée par ricochet par cette décision.</w:t>
      </w:r>
    </w:p>
    <w:p>
      <w:r>
        <w:rPr>
          <w:b/>
        </w:rPr>
        <w:t>E. 5</w:t>
      </w:r>
    </w:p>
    <w:p>
      <w:r>
        <w:t>Pour ces motifs, le recours ne peut qu’être rejeté. Le recourant, qui succombe, n’a pas droit à des dépens (art. 61 let. g LPGA a contrario). La procédure est gratuite (art. 61 let. fbis LPGA a contrario).</w:t>
      </w:r>
    </w:p>
    <w:p>
      <w:r>
        <w:t>A/1535/2024 - 7/7 - PAR CES MOTIFS, LA CHAMBRE DES ASSURANCES SOCIALES : Statuant À la forme : 1. Déclare le recours recevable. Au fond : 2. Le rejette.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Selon l’art. 85 LTF, s’agissant de contestations pécuniaires, le recours est irrecevable si la valeur litigieuse est inférieure à 30’000 francs (al. 1 let. a). Même lorsque la valeur litigieuse n’atteint pas le montant déterminant, le recours est recevable si la contestation soulève une question juridique de principe (al. 2).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Nathalie KOMAISKI</w:t>
      </w:r>
    </w:p>
    <w:p>
      <w:r>
        <w:t>La présidente</w:t>
      </w:r>
    </w:p>
    <w:p>
      <w:r>
        <w:t>Marine WYSSENBACH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