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ATAS/916/2021 vom 1. September 2021</w:t>
      </w:r>
    </w:p>
    <w:p>
      <w:r>
        <w:t>GE Cour de justice, 2021-09-01, FR</w:t>
      </w:r>
    </w:p>
    <w:p>
      <w:r>
        <w:rPr>
          <w:b/>
        </w:rPr>
        <w:t xml:space="preserve">Quelle: </w:t>
      </w:r>
      <w:r>
        <w:t>https://mcp.opencaselaw.ch/entscheid/ge_gerichte_ATAS_916_2021</w:t>
      </w:r>
    </w:p>
    <w:p>
      <w:r>
        <w:t>FR: GE_GERICHTE ATAS/916/2021 du 1 septembre 2021</w:t>
      </w:r>
    </w:p>
    <w:p>
      <w:r>
        <w:t>IT: GE_GERICHTE ATAS/916/2021 del 1 settembre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en temps utile et dans la forme requise par la loi, le recours du 26 mars 2021 contre la décision sur opposition du 23 février 2021 est recevable (art. 89B de la loi sur la procédure administrative du 12 septembre 1986 [LPA - E 5 10] et art. 36 de la loi d'application de la loi fédérale sur l'assurance- maladie du 29 mai 1997 [LaLAMal - J 3 05]).</w:t>
      </w:r>
    </w:p>
    <w:p>
      <w:r>
        <w:t>A/1143/2021 - 6/14 -</w:t>
      </w:r>
    </w:p>
    <w:p>
      <w:r>
        <w:rPr>
          <w:b/>
        </w:rPr>
        <w:t>E. 4</w:t>
      </w:r>
    </w:p>
    <w:p>
      <w:r>
        <w:t>Le litige porte sur le bien-fondé de la décision du 23 février 2021, par laquelle l'intimée a statué sur l’opposition du recourant du 9 novembre 2021 à l'encontre de sa décision de mainlevée du 9 octobre 2020.</w:t>
      </w:r>
    </w:p>
    <w:p>
      <w:r>
        <w:rPr>
          <w:b/>
        </w:rPr>
        <w:t>E. 5</w:t>
      </w:r>
    </w:p>
    <w:p>
      <w:r>
        <w:t>a. Conformément à l’art. 61 al. 1, 1ère phrase, LAMal, l’assureur fixe le montant des primes à payer par ses assurés. Selon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À teneur de l'art. 90 al. 1 de l'ordonnance sur l'assurance-maladie du 27 juin 1995 (OAMal - RS 832.102), les primes doivent être payées à l'avance et en principe tous les mois. L'art. 26 al. 1 LPGA précise que les créances de cotisations échues sont soumises à la perception d'intérêts moratoires et les créances échues en restitution de cotisations indûment versées sont soumises au versement d'intérêts rémunératoires. En vertu de l’art. 105a OAMal, le taux des intérêts moratoires pour les primes échues selon l'art. 26 al. 1 LPGA s'élève à 5% par année. L'art. 105b OAMal prévoit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w:t>
      </w:r>
    </w:p>
    <w:p>
      <w:r>
        <w:t>A/1143/2021 - 7/14 -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des assurances K 107/02 ; arrêt du Tribunal fédéral 9C_903/2009 du 11 décembre 2009 consid. 2.1).</w:t>
      </w:r>
    </w:p>
    <w:p>
      <w:r>
        <w:rPr>
          <w:b/>
        </w:rPr>
        <w:t>E. 6</w:t>
      </w:r>
    </w:p>
    <w:p>
      <w:r>
        <w:t>a. À teneur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 149 LP, le créancier qui a participé à la saisie et n’a pas été désintéressé intégralement reçoit un acte de défaut de biens pour le montant impayé. Le débiteur reçoit une copie de l’acte de défaut de biens (al. 1). L’office des poursuites délivre l’acte de défaut de biens dès que le montant de la perte est établi (al. 1bis) Cet acte vaut comme reconnaissance de dette dans le sens de l’art. 82 et confère les droits mentionnés aux art. 271 ch. 5 et 285 (al. 2). Le créancier est dispensé du commandement de payer, s’il continue la poursuite dans les six mois de la réception de l’acte de défaut de biens (al. 3). Il ne peut réclamer au débiteur des intérêts pour la créance constatée par acte de défaut de biens. Les cautions, coobligés ou autres garants qui ont dû en payer depuis ne peuvent en exiger le remboursement (al. 4). Conformément à l’art. 149a LP, la créance constatée par un acte de défaut de biens se prescrit par 20 ans à compter de la délivrance de l’acte de défaut de biens ; à l’égard des héritiers du débiteur, elle se prescrit au plus tard par un an à compter de l’ouverture de la succession (al. 1). Le débiteur peut en tout temps s’acquitter de la créance en payant en mains de l’office des poursuites qui a délivré l’acte de défaut de biens. L’office transmet le montant au créancier ou, le cas échéant, le consigne à la caisse de dépôts et consignations (al. 2). Après paiement de la totalité de la dette,</w:t>
      </w:r>
    </w:p>
    <w:p>
      <w:r>
        <w:t>A/1143/2021 - 8/14 - l’inscription de l’acte de défaut de biens est radiée du registre. Il est donné acte de cette radiation au débiteur qui le demande (al. 3). b.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(arrêt du Tribunal fédéral 5A_595/2012 du 24 octobre 2012 consid. 4 et les références).</w:t>
      </w:r>
    </w:p>
    <w:p>
      <w:r>
        <w:rPr>
          <w:b/>
        </w:rPr>
        <w:t>E. 7</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A/1143/2021 - 9/14 - assurances sociales, un principe selon lequel l'administration ou le juge devrait statuer, dans le doute, en faveur de l'assuré (ATF 126 V 319 consid. 5a).</w:t>
      </w:r>
    </w:p>
    <w:p>
      <w:r>
        <w:rPr>
          <w:b/>
        </w:rPr>
        <w:t>E. 8</w:t>
      </w:r>
    </w:p>
    <w:p>
      <w:r>
        <w:t>a. En l’espèce, la chambre de céans rappelle tout d’abord que le recourant ne s’est pas opposé au premier commandement de payer notifié le 13 mars 2013, poursuite n° 1______, et que l’intimée a adressé à l’office compétent une réquisition de continuer la poursuite le 21 mai 2013. Selon les pièces produites, un acte de défaut de biens a été établi le 12 juin 2014, pour un montant total CHF 2'735.40 comprenant les primes dues pour les mois d’octobre 2010 à février 2011, les frais administratifs et de poursuite, ainsi que les intérêts, et la déduction du produit de la poursuite de CHF 22.10. b. Suite à l’introduction d’une nouvelle procédure de poursuite en janvier 2020, le recourant a formé opposition au commandement de payer, poursuite n° 2______, en date du 2 mars 2020. Il a mentionné qu’il n’était pas revenu à meilleure fortune. Son opposition a été déclarée irrecevable par le Tribunal de première instance, les conditions de l’exception soulevée n’ayant pas été établies. C’est le lieu de relever que l'opposition pour non-retour à meilleure fortune, prévue à l'art.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Cette exception ne saurait entrer en ligne de compte lorsque la créance est constatée dans un acte de défaut de biens après saisie (ATF 133 III 620 consid. 3.1 in fine), sous réserve d’hypothèses non réalisées en l’occurrence (cf. arrêt du Tribunal fédéral 5A_167/2010 du 27 avril 2010 consid. 2.1 et les références). c. Ainsi, l’acte de défaut de biens du 12 juin 2014 ayant été établi après saisie, l’intéressé ne pouvait pas se prévaloir de l’exception de non-retour à meilleure fortune.</w:t>
      </w:r>
    </w:p>
    <w:p>
      <w:r>
        <w:rPr>
          <w:b/>
        </w:rPr>
        <w:t>E. 9</w:t>
      </w:r>
    </w:p>
    <w:p>
      <w:r>
        <w:t>a. Le recourant fait grief à l’intimée d’avoir introduit une nouvelle poursuite, totalement « vaine, voire abusive faute de la moindre perspective d’encaissement », alors que l’acte de défaut de biens déploie ses effets pendant 20 ans. b. La chambre de céans souligne que la nullité de la poursuite pour abus de droit ne peut être admise qu’exceptionnellement. En l’occurrence, aucun indice ne suggère que l’intimée aurait diligenté la nouvelle procédure dans le seul but d’importuner l’intéressé ou de nuire à sa réputation. Elle n’a pas non plus fait notifier au recourant plusieurs commandements de payer ni renoncé à obtenir la mainlevée de l’opposition. Que le recourant ait été au bénéfice de prestations de l’Hospice général en 2006, puis d’une rente AVS et de prestations complémentaires à partir de 2019, n’exclut</w:t>
      </w:r>
    </w:p>
    <w:p>
      <w:r>
        <w:t>A/1143/2021 - 10/14 - pas d’emblée qu’il soit en mesure de rembourser, à tout le moins partiellement, la dette de l’intimée, eu égard au montant total de celle-ci et du laps de temps écoulé depuis la délivrance de l’acte de défaut de biens. La chambre de céans ajoutera que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Notre Haute cour a notamment relevé que l'assureur- maladie demeurait seul habilité à obtenir le paiement des créances impayées et qu’un canton n'avait pas le pouvoir d'empêcher un assureur-maladie de mettre en poursuite un assuré pour le montant des primes et des participations aux coûts qui ne seraient pas couvertes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c. Partant, le recourant ne peut pas se prévaloir de l’absence de ressources suffisantes, attestée par l’octroi d’une aide financière par l’Hospice général puis de prestations complémentaires à l’AVS/AI, pour s’opposer à une nouvelle poursuite.</w:t>
      </w:r>
    </w:p>
    <w:p>
      <w:r>
        <w:rPr>
          <w:b/>
        </w:rPr>
        <w:t>E. 10</w:t>
      </w:r>
    </w:p>
    <w:p>
      <w:r>
        <w:t>a. Le recourant fait également valoir qu’il a été incarcéré à l’étranger au début de l’année 2011, de sorte qu’il n’était plus tenu de s’affilier à l’assurance-maladie obligatoire, faute de domicile en Suisse. b. Aux termes de l'art. 3 al. 1 LAMal, toute personne domiciliée en Suisse doit s’assurer pour les soins en cas de maladie, ou être assurée par son représentant légal, dans les trois mois qui suivent sa prise de domicile ou sa naissance en Suisse.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Le domicile de toute personne est au lieu où elle réside avec l’intention de s’y établir (art. 23 al. 1 du code civil suisse du 10 décembre 1907 [CC- RS 210]). Toute personne conserve son domicile aussi longtemps qu’elle ne s’en est pas créé un nouveau (art. 24 al. 1 CC). Le domicile d'une personne se trouve en conséquence au lieu où elle séjourne avec le dessein d'y rester de façon durable et dont elle a fait le centre de ses relations existentielles. Cette notion comporte deux éléments : l'un objectif, la présence</w:t>
      </w:r>
    </w:p>
    <w:p>
      <w:r>
        <w:t>A/1143/2021 - 11/14 - physique en un lieu donné ; l'autre subjectif, l'intention d'y demeurer durablement (ATF 141 V 530 consid. 5.2 ; ATF 137 II 122 consid. 3.6 ; ATF 136 II 405 consid. 4.3 ; arrêt du Tribunal fédéral 5A_278/2017 du 19 juin 2017 consid. 3.1). S'agissant de ce dernier élément, la jurisprudence ne se fonde pas sur la volonté interne de l'intéressé ; seules sont décisives les circonstances objectives, reconnaissables pour les tiers, permettant de déduire une telle intention (ATF 141 V 530 consid. 5.2 ; ATF 137 II 122 consid. 3.6 ; ATF 120 III 7 consid. 2b ; ATF 119 II 64 consid. 2b/bb).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ATF 136 II 405 consid. 4.3 ; ATF 125 III 100 consid. 3 ; arrêt du Tribunal fédéral 5A_278/2017 précité consid. 3.1.1.1). La mise en détention d'une personne dans un établissement pénitentiaire ne constitue pas de domicile, faute pour elle d'avoir l'intention de s'y établir (arrêt du Tribunal fédéral 5A_680/2020 du 8 décembre 2020 consid. 5.1.1). c. En l’espèce, il ressort de la base de données CALVIN de l'office cantonal de la population et des migrations que le recourant est arrivé à Genève en 1981, où il est resté domicilié jusqu’en 2002. Il est revenu s’établir à Genève le 26 octobre 2005, et il réside à la même adresse depuis 1er novembre 2010. Son incarcération à l’étranger durant une période de moins de quatre mois au début de l’année 2011 n’est pas propre à lui fait perdre son domicile à Genève, la condition subjective n’étant manifestement pas remplie, ce que le recourant ne soutient au demeurant pas.</w:t>
      </w:r>
    </w:p>
    <w:p>
      <w:r>
        <w:rPr>
          <w:b/>
        </w:rPr>
        <w:t>E. 11</w:t>
      </w:r>
    </w:p>
    <w:p>
      <w:r>
        <w:t>a. En ce qui concerne le montant de la dette résultant des primes impayées pour la période du 1er octobre 2010 au 28 février 2011, les écritures successives de l’intimée apparaissent équivoques. En effet, elle a requis la nouvelle poursuite pour un montant de CHF 2'662.40, soit un montant inférieur à celui mentionné dans l’acte de défaut de biens (CHF 2'737.40), sans en préciser les raisons. Ses allégations et pièces ne permettent en particulier pas de déterminer si le recourant s’est acquitté d’une certaine somme entre 2014 et 2020. Dans sa décision du 9 octobre 2020, par laquelle elle a prononcé la mainlevée de l’opposition, elle a indiqué le montant de CHF 2'762.95 correspondant à CHF 2'070.40 de primes impayées, CHF 288.70 de frais de contentieux, CHF 40.- de frais de rappel, et CHF 363.85 d’intérêts. Ce montant est donc supérieur à celui de la poursuite, mais également à celui de l’acte de défaut de biens.</w:t>
      </w:r>
    </w:p>
    <w:p>
      <w:r>
        <w:t>A/1143/2021 - 12/14 - Par courrier du 8 décembre 2020, elle a informé le recourant que le montant de CHF 2'762.95 comprenait les CHF 2'662.40 stipulés dans la réquisition de poursuite, auxquels étaient rajoutés CHF 100.55, équivalant aux frais de la nouvelle procédure de poursuite. Enfin, dans sa décision sur opposition, elle a repris le total de CHF 2'662.40, précisant que les frais de la nouvelle procédure (CHF 100.55) n’étaient pas compris dans la procédure de mainlevée. Sa créance incluait CHF 2'070.40 de primes impayées, CHF 100.- de frais de rappel déjà compris dans le montant de l’acte de défauts de biens, CHF 128.15 de frais de la précédente poursuite et CHF 363.85 d’intérêts également compris dans l’acte de défaut de biens. b. En dépit de ces divergences, la mainlevée peut effectivement être prononcée pour le montant de CHF 2'662.40, dès lors qu’il est inférieur à celui de l’acte de défaut de biens et que l’intéressé n’allègue pas avoir honoré tout ou partie de sa dette. Il se limite à soutenir que la nouvelle poursuite a englobé de nouveaux frais de contentieux, de rappel et d’intérêts. Il ressort des polices d’assurance produites que les primes dues par le recourant s’élevaient à CHF 2'092.50 pour les mois d’octobre 2010 à février 2011 (CHF 1'218.60 pour 2010 et CHF 873.90 pour 2011) et l’acte de défaut de biens après saisie indique un produit de CHF 22.10. La différence de ces montants correspond ainsi bien à la créance de base alléguée par l’intimée (CHF 2'070.40). Les intérêts de CHF 363.85 sont expressément mentionnés dans l’acte de défaut de biens et l’intimée n’en a pas retenu postérieurement, contrairement à ce que prétend le recourant. Il en va de même s’agissant des frais. En effet, l’acte de défaut de biens mentionne des « frais d’office » à hauteur de CHF 120.15, alors que l’intimée a tenu compte de « frais de poursuite » de CHF 128.15, ce qui semble donc constituer une erreur. Cela étant, l’acte de défaut de biens a pris en considération un capital de CHF 2'273.50, à savoir CHF 181.- de plus que le montant des primes contractuellement dues (CHF 2'092.50), alors que l’intimée a retenu des frais de rappel de CHF 100.-, soit un montant bien inférieur aux CHF 181.-. Il appert donc qu’elle n’a pas pris en considération des frais de rappel et de poursuite plus élevés que ceux qui ont déjà été indiqués dans l’acte de défaut de biens.</w:t>
      </w:r>
    </w:p>
    <w:p>
      <w:r>
        <w:rPr>
          <w:b/>
        </w:rPr>
        <w:t>E. 12</w:t>
      </w:r>
    </w:p>
    <w:p>
      <w:r>
        <w:t>Eu égard à tout ce qui précède, l’intimée était en droit de poursuivre le recourant pour le montant de CHF 2'662.40 résultant des primes impayées, sur la base de son acte de défaut de biens établi le 12 juin 2014, lequel vaut comme reconnaissance de dette au sens de l’art. 82 LP. En outre, elle était habilitée à lever elle-même l’opposition formée au commandement de payer, poursuite n° 2______puisqu’elle a respecté la procédure prescrite pour le recouvrement de ses créances.</w:t>
      </w:r>
    </w:p>
    <w:p>
      <w:r>
        <w:t>A/1143/2021 - 13/14 -</w:t>
      </w:r>
    </w:p>
    <w:p>
      <w:r>
        <w:rPr>
          <w:b/>
        </w:rPr>
        <w:t>E. 13</w:t>
      </w:r>
    </w:p>
    <w:p>
      <w:r>
        <w:t>En conséquence, le recours est rejeté et la mainlevée de l’opposition faite au commandement de payer dans la poursuite n° 2______est donc prononcée.</w:t>
      </w:r>
    </w:p>
    <w:p>
      <w:r>
        <w:rPr>
          <w:b/>
        </w:rPr>
        <w:t>E. 14</w:t>
      </w:r>
    </w:p>
    <w:p>
      <w:r>
        <w:t>La procédure est gratuite (art. 61 let. a LPGA). Il n’y a pas lieu à allocation d’une indemnité de procédure, ni au recourant, vu l’issue donnée au recours (art. 61 let. g LPGA), ni à l’intimée en tant qu’assureur social (Ueli KIESER, ATSG Kommentar, 3ème éd., 2015, n. 199 s. ad art. 61).</w:t>
      </w:r>
    </w:p>
    <w:p>
      <w:r>
        <w:t>A/1143/2021 - 14/14 -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