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ATAS/916/2014 vom 20. August 2014</w:t>
      </w:r>
    </w:p>
    <w:p>
      <w:r>
        <w:t>GE Cour de justice, 2014-08-20, FR</w:t>
      </w:r>
    </w:p>
    <w:p>
      <w:r>
        <w:rPr>
          <w:b/>
        </w:rPr>
        <w:t xml:space="preserve">Quelle: </w:t>
      </w:r>
      <w:r>
        <w:t>https://mcp.opencaselaw.ch/entscheid/ge_gerichte_ATAS_916_2014</w:t>
      </w:r>
    </w:p>
    <w:p>
      <w:r>
        <w:t>FR: GE_GERICHTE ATAS/916/2014 du 20 août 2014</w:t>
      </w:r>
    </w:p>
    <w:p>
      <w:r>
        <w:t>IT: GE_GERICHTE ATAS/916/2014 del 20 agosto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A/3584/2013 - 6/14 -</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Le litige porte sur le droit aux prestations de l’assurance-invalidité de la recourante, singulièrement sur son degré d’invalidité.</w:t>
      </w:r>
    </w:p>
    <w:p>
      <w:r>
        <w:rPr>
          <w:b/>
        </w:rPr>
        <w:t>E. 4</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w:t>
      </w:r>
    </w:p>
    <w:p>
      <w:r>
        <w:t>A/3584/2013 - 7/14 -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w:t>
      </w:r>
    </w:p>
    <w:p>
      <w:r>
        <w:t>A/3584/2013 - 8/14 -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A/3584/2013 - 9/14 -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 c)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A/3584/2013 - 10/14 -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A/3584/2013 - 11/14 - pertinents pour remettre en cause les conclusions de l'expert (arrêt du Tribunal fédéral 9C_369/2008 du 5 mars 2009 consid. 2.2).</w:t>
      </w:r>
    </w:p>
    <w:p>
      <w:r>
        <w:rPr>
          <w:b/>
        </w:rPr>
        <w:t>E. 7</w:t>
      </w:r>
    </w:p>
    <w:p>
      <w:r>
        <w:t>En l’espèce, la recourante souffre de douleurs suite à des cicatrices chéloïdiennes sternales. Le Dr E______, médecin traitant, a diagnostiqué un syndrome douloureux chronique neurogène sur cicatrices chéloïdes pré-sternales et prescrit un arrêt de travail à 100% depuis le 17 février 2011. Le 17 février 2012, il a indiqué que la symptomatologie s’était progressivement aggravée, empêchant la patiente d’accomplir les gestes nécessaires à la tenue de son ménage. Dans leur rapport du 17 juin 2011, les médecins du Centre multidisciplinaire d’étude et de traitement de la douleur ont diagnostiqué des douleurs d’allure neurogène dans un contexte de cicatrices chéloïdes pré-sternales, probablement amplifiées par la souffrance importante générée par un contexte familial difficile et ont relevé des éléments dépressifs. Ils ne se sont pas prononcés sur la capacité de travail, ni sur les limitations. Selon le Prof. O______, le traitement des cicatrices chéloïdiennes apparues sur deux blessures sont sans rapport avec un problème de santé pouvant conduire à une éventuelle invalidité. Lors de la consultation du 5 mars 2009, il ne voyait pas d’indication à pratiquer une nouvelle intervention chirurgicale suivie d’une radiothérapie, alors que les lésions n’étaient pas chéloïdiennes. Il existait en effet une discordance entre les plaintes de la patiente et l’examen clinique. Afin de clarifier la situation médicale, l’intimé a confié une expertise pluridisciplinaire à la CRR. Dans leur rapport du 4 juin 2013, les experts n’ont retenu aucun diagnostic avec répercussion sur la capacité de travail. Les diagnostics sans répercussion sur la capacité de travail sont, sur le plan psychiatrique, une dysthymie, et sur le plan somatique, un état douloureux chronique diffus, une hypertension artérielle, un trait thalassémique, un status post entorse du LLI (ligament latéral interne) du genou gauche et post myomectomie utérine partielle. L’expert psychiatre a noté au status psychiatrique que la recourante ne présentait pas de trouble de mémoire, ni de ralentissement psychomoteur, ni d’agitation. Il n’a pas retrouvé de trouble du cours ou du contenu de la pensée. La collaboration était douteuse. Le moral était préservé, il n’y avait pas de repli social, ni de perte d’estime d’elle-même, le sommeil était déclaré comme fluctuant. Il a mis en évidence l’existence d’éléments en faveur d’angoisses itératives qui passent seules, sans élément en faveur d’agoraphobie, de claustrophobie, de phobie sociale, de crises d’anxiété généralisé, de la lignée obsessionnelle. L’examen n’a pas retrouvé de signe floride de la lignée psychotique, ni de critères de trouble de la personnalité. Dans l’appréciation du cas, le psychiatre a mis en évidence un tableau de dépression chronique dont la sévérité est insuffisante pour justifier actuellement un diagnostic de trouble dépressif récurrent léger. La symptomatologie algique pourrait faire envisager un diagnostic de trouble somatoforme, mais il n’était pas incapacitant, dès lors que les critères de l’existence d’une comorbidité psychiatrique manifeste n’est pas retrouvée, l’affection chronique s’étendant sur</w:t>
      </w:r>
    </w:p>
    <w:p>
      <w:r>
        <w:t>A/3584/2013 - 12/14 - plusieurs années sans rémission durable n’est pas envisageable, la perte d’intégration sociale dans toutes les manifestations de la vie pas retrouvée et l’échec au traitement ne peut être envisagé. Il n’y avait aucune limitation fonctionnelle sur le plan psychiatrique et la capacité de travail était totale, dans toute activité. L’examen neurologique était dans les limites de la norme. L’expert a indiqué qu’il lui était difficile de trouver une explication aux plaintes de la patiente et de justifier de telles limitations, à la fois dans les activités quotidiennes de la patiente et également professionnelles. Il n’avait pas de proposition thérapeutique particulière à formuler, tout au plus une discussion quant à un traitement par hypnose. Les experts sont parvenus à la conclusion que l’incapacité de travail continue attestée par le médecin traitant à partir de févier 2011 n’est objectivement pas justifiée par une aggravation. Les douleurs sont devenues plus diffuses, mais elles n’ont pas de substrat organique et il n’y a pas de pathologie psychiatrique associée significative. Les autres diagnostics retenus sur le plan somatique, en particulier l’hypertension et le fibrome utérin probablement en partie restant, justifient une prise en charge mais ne sont pas incapacitants. La capacité de travail est entière dans toute activité. La chambre de céans constate que la recourante a fait l’objet d’un examen clinique par trois médecins spécialistes en date des 14 mai, 15 mai et 16 mai 2013, que l’expertise comporte une anamnèse familiale, psycho-sociale et professionnelle complète et détaillée, de même qu’une anamnèse des maladies et accidents, que les plaintes ont été prises en comptes, que le status clinique a été clairement exposé et que les experts ont procédé à une appréciation et discussion du cas en se fondant sur un dossier complet. Leurs conclusions sont motivées, claires et convaincantes, exemptes de contradictions. De plus, les constatations neurologiques rejoignent celles du Prof. O______. Il s’ensuit que l’expertise remplit tous les réquisits permettant de lui attribuer pleine valeur probante, de sorte que la chambre de céans n’a aucun motif lui permettant de s’écarter des conclusions des experts. En particulier, le contenu du certificat médical établi par la Dresse N______, nouveau médecin traitant de la recourante, ne contient aucun élément qui n’aurait pas été pris en compte par les experts. Son appréciation divergente quant à la capacité de travail de la recourante ne permet pas de remettre en cause celle des experts. Au vu de ce qui précède, force est de constater que la recourante ne présente pas d’atteinte à la santé invalidante et que la capacité de travail est totale dans toute activité, sans diminution de rendement.</w:t>
      </w:r>
    </w:p>
    <w:p>
      <w:r>
        <w:rPr>
          <w:b/>
        </w:rPr>
        <w:t>E. 8</w:t>
      </w:r>
    </w:p>
    <w:p>
      <w:r>
        <w:t>Le recours, mal fondé, est rejeté.</w:t>
      </w:r>
    </w:p>
    <w:p>
      <w:r>
        <w:rPr>
          <w:b/>
        </w:rPr>
        <w:t>E. 9</w:t>
      </w:r>
    </w:p>
    <w:p>
      <w:r>
        <w:t>Au vu du sort du litige, l’émolument, fixé à CHF 200.-, est mis à la charge de la recourante, qui succombe (art. 69al. 1bis LAI).</w:t>
      </w:r>
    </w:p>
    <w:p>
      <w:r>
        <w:t>A/3584/2013 - 13/14 -</w:t>
      </w:r>
    </w:p>
    <w:p>
      <w:r>
        <w:t>A/3584/2013 - 14/14 -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