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ATAS/915/2022 vom 18. Oktober 2022</w:t>
      </w:r>
    </w:p>
    <w:p>
      <w:r>
        <w:t>GE Cour de justice, 2022-10-18, FR</w:t>
      </w:r>
    </w:p>
    <w:p>
      <w:r>
        <w:rPr>
          <w:b/>
        </w:rPr>
        <w:t xml:space="preserve">Quelle: </w:t>
      </w:r>
      <w:r>
        <w:t>https://mcp.opencaselaw.ch/entscheid/ge_gerichte_ATAS_915_2022</w:t>
      </w:r>
    </w:p>
    <w:p>
      <w:r>
        <w:t>FR: GE_GERICHTE ATAS/915/2022 du 18 octobre 2022</w:t>
      </w:r>
    </w:p>
    <w:p>
      <w:r>
        <w:t>IT: GE_GERICHTE ATAS/915/2022 del 18 ottobre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8.1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w:t>
      </w:r>
    </w:p>
    <w:p>
      <w:r>
        <w:t>A/4224/2021 - 11/22 - médicales constituent un élément utile pour déterminer quels travaux on peut encore, raisonnablement, exiger de l’assuré (ATF 125 V 256 consid. 4; arrêt du Tribunal fédéral 8C_442/2013 du 4 juillet 2014 consid. 2).</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8.3.1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8.3.2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A/4224/2021 - 12/22 -</w:t>
      </w:r>
    </w:p>
    <w:p>
      <w:r>
        <w:rPr>
          <w:b/>
        </w:rPr>
        <w:t>E. 8.3.3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Faisant sien l’avis du SMR du 20 septembre 2021, lui-même fondé sur le rapport d’examen du 18 janvier 2021 du Dr H______ – à tout le moins pour les limitations fonctionnelles retenues par ce médecin de la SUVA –, l’intimé considère que le recourant présente une capacité de travail nulle dans son activité habituelle de cuisinier mais entière dans une activité adaptée, ces deux aspects étant valables depuis le 14 février 2019. La décision litigieuse retient également qu’au vu d’une perte de gain de CHF 7’159.-, le degré d’invalidité s’élève à 10%.</w:t>
      </w:r>
    </w:p>
    <w:p>
      <w:r>
        <w:t>A/4224/2021 - 13/22 - Pour sa part, le recourant conteste la capacité de travail entière qui serait la sienne dans une activité adaptée, non pas pour des raisons médicales mais parce qu’à moins de bénéficier d’une aide pour retrouver un emploi ou effectuer une formation dans un domaine adapté à son état de santé, il ne se sent pas à même d’exercer une activité « dans un poste assis » pour lequel ses qualifications seraient très limitées. La chambre de céans relève pour sa part que dans la mesure où l’intimé ne s’est pas fondé sur le rapport du 18 janvier 2021 du Dr H______ en tant qu’il était défavorable au recourant – pour avoir retenu l’exigibilité de la continuation de l’activité de restaurateur, comprenant les tâches de cuisinier et le service en salle, moyennant le respect des limitations fonctionnelles –, il n’apparaît pas nécessaire d’ordonner une expertise sur l’exigibilité de l’activité habituelle de restaurateur pour départager les avis opposés à ce sujet entre le Dr H______, d’une part, le SMR et les autres médecins, d’autre part, étant relevé par ailleurs que s’agissant des limitations fonctionnelles, l’avis du SMR n’est pas contredit par les appréciations (moins détaillées) de l’expert G______, du Dr C______ et du Dr D______. Par conséquent, en l’absence de doutes, même faibles, quant à la fiabilité ou à la pertinence des constatations effectuées par le SMR, il convient de leur reconnaître valeur probante. Aussi la chambre de céans considérera-t-elle qu’il est établi, au degré requis de la vraisemblance prépondérante, que le recourant présente une capacité de travail nulle dans son activité de restaurateur mais entière dans une activité adaptée aux limitations fonctionnelles retenues le 29 septembre 2021 par le SMR.</w:t>
      </w:r>
    </w:p>
    <w:p>
      <w:r>
        <w:rPr>
          <w:b/>
        </w:rPr>
        <w:t>E. 11</w:t>
      </w:r>
    </w:p>
    <w:p>
      <w:r>
        <w:t>Il convient à présent de vérifier le calcul du degré d’invalidité opéré par l’intimé.</w:t>
      </w:r>
    </w:p>
    <w:p>
      <w:r>
        <w:rPr>
          <w:b/>
        </w:rPr>
        <w:t>E. 11.1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A/4224/2021 - 14/22 -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 tirage « skill level »,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(médiane) s’applique alors, en principe, à tous les assurés qui ne peuvent plus</w:t>
      </w:r>
    </w:p>
    <w:p>
      <w:r>
        <w:t>A/4224/2021 - 15/22 -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w:t>
      </w:r>
    </w:p>
    <w:p>
      <w:r>
        <w:rPr>
          <w:b/>
        </w:rPr>
        <w:t>E. 11.2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11.3</w:t>
      </w:r>
    </w:p>
    <w:p>
      <w:r>
        <w:t>En l’occurrence, quand bien même le SMR n’a pas désigné les activités compatibles avec les limitations du recourant, 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t>A/4224/2021 - 16/22 - S’agissant du revenu sans invalidité, l’intimé ne s’est pas fondé sur le dernier salaire que le recourant a obtenu en tant que restaurateur mais sur les données statistiques résultant de l’ESS, plus précisément du tableau TA1, tirage « skill level », secteur privé, ligne 28 (construction). Dans la mesure où l’intimé a constaté le 4 octobre 2021 que l’abandon de l’activité exercée dans le bâtiment jusqu’en 2005 en raison de son caractère trop pénible pour le genou droit, son choix de se référer au revenu statistique dans la construction apparaît conforme à la jurisprudence (ci-dessus : consid. 11.1), sous réserve de quelques précisions qui seront apportées ci-après (consid. 11.4). Quant à la fixation du revenu d’invalide sur la base de données statistiques, à savoir la table ESS TA1, tirage « skill level », ligne « total secteur privé », elle apparaît également fondée au regard de l’absence de reprise d’une activité (même adaptée) par le recourant. Cela étant précisé, on rappellera que pour procéder à la comparaison des revenus, il convient de se placer au moment de la naissance du droit à la rente. Au regard de l’incapacité de travail ayant débuté le 14 février 2019, ce moment correspond à l’année 2020 (cf. art. 28 al. 1 let. c LAI). Étant donné toutefois que les tableaux TA1, T1 et T17 de l’ESS 2020 n’ont été publiés que le 23 août 2022, et qu’il y a lieu de se référer à la version de l’ESS publiée au moment déterminant de la décision querellée (cf. arrêt 8C_655/2016 précité, consid. 6.3), le fait que l’intimé se soit référé à l’ESS 2018 est correct.</w:t>
      </w:r>
    </w:p>
    <w:p>
      <w:r>
        <w:rPr>
          <w:b/>
        </w:rPr>
        <w:t>E. 11.4</w:t>
      </w:r>
    </w:p>
    <w:p>
      <w:r>
        <w:t>Bien que le revenu sans invalidité, tel qu’il a été déterminé par l’intimé, repose sur des bases correctes, dont le tableau TA1, tirage « skill level », secteur privé, ligne 28 (construction) de l’ESS 2018, il convient pourtant de relever qu’une erreur s’est glissée dans le calcul, à savoir la non prise en compte de la durée normale du travail dans la construction en 2018, soit le secteur où le recourant aurait exercé une activité s’il n’avait pas été invalide (cf. arrêt du Tribunal fédéral 9C_480/2016 du 10 novembre 2016 consid. 6.2). Il exact que selon le tableau TA1 précité, un homme pouvait réaliser un revenu mensuel de CHF 5’622.- en 2018 (soit CHF 67’464.- par année) dans une activité de niveau 1. En tenant compte de la durée normale du travail dans la construction la même année (41.3 heures), étape omise par l’intimé, ce revenu se monte à CHF 5’805.- (= 5’622 x 41.3 / 40), soit à CHF 69’660.- par année. En indexant ce montant à 2020 selon l’ISS, on aboutit à un revenu brut sans invalidité de CHF 70’831.- (= 69’660 x 2’298 / 2260). Toutes choses égales par ailleurs, la perte de gain ne s’élève pas à CHF 7’159.- mais à CHF 8’816.- et le degré d’invalidité à 12% [(70’831 – 62’015) x 100 / 70’831 = 12.44%, arrondi au pourcent inférieur de 12% (ATF 130 V 121)].</w:t>
      </w:r>
    </w:p>
    <w:p>
      <w:r>
        <w:rPr>
          <w:b/>
        </w:rPr>
        <w:t>E. 11.5</w:t>
      </w:r>
    </w:p>
    <w:p>
      <w:r>
        <w:t>Reste encore à se demander si un abattement supérieur aux 10% retenus sur le revenu d’invalide se justifie.</w:t>
      </w:r>
    </w:p>
    <w:p>
      <w:r>
        <w:t>A/4224/2021 - 17/22 - Il vrai que le recourant ne peut plus exercer son activité habituelle de restaurateur et que cette circonstance s’accompagne, au moment de la naissance du droit (éventuel) à une rente d’invalidité en 2020, de l’absence d’années de service dans une activité adaptée à ses limitations fonctionnelles. Cependant, le critère des années de service ne saurait conduire à lui seul à un abattement, dans la mesure où il revêt peu d’importance pour l’accomplissement d’activités simples et répétitives (niveau 1) dans le secteur privé (arrêt du Tribunal fédéral 9C_611/2013 du 11 février 2014 consid. 3.2.2). Il en va de même du niveau de formation (cf. arrêt du Tribunal fédéral 8C_427/2011 du 15 septembre 2011 consid. 5.2) et de maîtrise de la langue écrite (arrêt du Tribunal fédéral 8C_17/2011 du 21 avril 2011 consid. 6.2). Quant au critère de la nationalité et du permis de séjour, il n’entre de toute manière pas en considération au vu de la nationalité suisse du recourant. Dans ces circonstances, et en présence d’un profil d’assuré proche de l’état de fait soumis au Tribunal fédéral dans l’arrêt 8C_311/2015 du 22 janvier 2016, la chambre de céans considère que l’abattement de 10% retenu par l’intimé tient suffisamment compte des possibles désavantages salariaux induits par les limitations fonctionnelles, combinées à l’âge de l’intéressé (54 ans au moment de la comparaison des revenus ; cf. l’arrêt du Tribunal fédéral 8C_227/2017 du</w:t>
      </w:r>
    </w:p>
    <w:p>
      <w:r>
        <w:rPr>
          <w:b/>
        </w:rPr>
        <w:t>E. 13</w:t>
      </w:r>
    </w:p>
    <w:p>
      <w:r>
        <w:t>août 2012 consid. 3). Il convient de se référer à la version de l’ESS publiée au moment déterminant de la décision querellée (ATF 143 V 295 consid. 4 ; arrêt du Tribunal fédéral 8C_655/2016 du 4 août 2017 consid. 6.3).</w:t>
      </w:r>
    </w:p>
    <w:p>
      <w:r>
        <w:rPr>
          <w:b/>
        </w:rPr>
        <w:t>E. 17</w:t>
      </w:r>
    </w:p>
    <w:p>
      <w:r>
        <w:t>mai 2018 consid. 5). 12. Reste à examiner si le recourant peut prétendre à une mesure d’ordre professionnel. 12.1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un minimum de connaissances. Il convient bien plutôt de se reporter aux circonstances du cas concret. L’assuré qui peut prétendre au reclassement en raison de son invalidité a droit à la formation complète qui est nécessaire dans son cas, si sa capacité de gain peut</w:t>
      </w:r>
    </w:p>
    <w:p>
      <w:r>
        <w:t>A/4224/2021 - 18/22 - ainsi, selon toute vraisemblance, être sauvegardée ou améliorée de manière notable (ATF 124 V 108 consid. 2a; VSI 1997 p. 85 consid. 1). 12.2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12.3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Parmi les mesures qui peuvent entrer en ligne de compte figurent</w:t>
      </w:r>
    </w:p>
    <w:p>
      <w:r>
        <w:t>A/4224/2021 - 19/22 - notamment les entretiens d’orientation, les tests d’aptitudes ou encore les stages d’observation en milieu ou hors milieu professionnel (arrêt du Tribunal fédéral 9C_534/2010 du 10 février 2010 consid. 3.2 et les références). 12.4 Aux termes de l’art. 18 al. 1 LAI (dans sa teneur en vigueur depuis le 1er janvier 2008), l’assuré présentant une incapacité de travail (art. 6 LPGA) et susceptible d’être réadapté a droit : à un soutien actif dans la recherche d’un emploi approprié (let. a);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4ème révision de la LAI (cf. ATF 116 V 80 consid. 6; arrêt du Tribunal fédéral des assurances I 421/01 du 15 juillet 2002 consid. 2c, comparés aux arrêts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(arrêt du Tribunal fédéral des assurances I 54/05 du 22 septembre 2004 consid. 6.2). La</w:t>
      </w:r>
    </w:p>
    <w:p>
      <w:r>
        <w:t>A/4224/2021 - 20/22 -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(arrêt du Tribunal fédéral 9C_416/2009 du 1er mars 2010 consid. 5.2). 12.5 Attendu qu’en l’espèce, le seuil minimum fixé par la jurisprudence pour ouvrir droit à une mesure de reclassement (diminution de la capacité de gain de 20% environ ; ci-dessus : consid. 12.2) n’est pas atteint, le recourant ne présente pas une perte de gain suffisante pour un reclassement. Partant, l’octroi d’une telle mesure doit être refusé. Il convient encore d’examiner si le recourant peut éventuellement prétendre à une mesure d’orientation professionnelle ou à une aide au placement. À cet égard, il fait valoir que ses qualifications pour un poste assis seraient très limitées, raison pour laquelle il aurait besoin d’aide pour retrouver un emploi ou pour recevoir une formation adaptée à sa situation, ses connaissances et son état de santé. Il convient de préciser à titre liminaire que lorsqu’une absence de réadaptation professionnelle n’est pas due à des difficultés de recherches d’emploi elles-mêmes liées à l’état de santé mais à des problèmes étrangers à l’invalidité (p. ex. en raison de compétences linguistiques insuffisantes), les conditions pour des mesures de réadaptation ne sont pas remplies au regard de l’art. 8 al. 1 let. a LAI (cf. arrêt du Tribunal fédéral 8C_485/2021 du 23 décembre 2021 consid. 5.4). Dans cette mesure, le fait que le recourant invoque le caractère limité de ses « qualifications pour un poste assis » n’est pas pertinent. Il en va éventuellement autrement du moyen tiré de la difficulté de retrouver un emploi adapté à l’état de santé. À cet égard, il est établi qu’en raison des limitations fonctionnelles retenues notamment par le SMR (concernant toute activité lourde avec port de charges de plus de 25kg de manière irrégulière, le port de charges de plus de 15kg de manière régulière, toute activité en terrain accidenté, la montée et descente d’escaliers de manière régulière et la station debout prolongée – statique et dynamique – de plus d’une heure), le recourant ne peut plus exercer ses activités antérieures dans le domaine de la construction et de la restauration mais que dans toute activité respectant les limitations fonctionnelles précitées, sa capacité de travail est entière. Compte tenu du caractère relativement commun de telles limitations, le fait que l’intimé ait attendu jusqu’au stade de la réponse au recours pour formuler des propositions d’orientation (dans les secteurs de la surveillance et du contrôle)</w:t>
      </w:r>
    </w:p>
    <w:p>
      <w:r>
        <w:t>A/4224/2021 - 21/22 - apparaît néanmoins suffisant pour permettre au recourant de s’orienter seul sur le marché du travail, quand bien même cette proposition a minima ne saurait être considérée comme une mesure d’orientation professionnelle. De manière plus générale en effet, dans la mesure où le marché équilibré du travail offre un éventail suffisamment large d’activités légères, dont un nombre significatif sont, à l’évidence, adaptées aux limitations du recourant et accessibles sans aucune formation particulière, il n’existe guère d’obstacles qui empêcheraient le recourant d’exercer une activité adaptée à ses problèmes de santé. Dans ces conditions, l’octroi d’une mesure d’orientation professionnelle à la charge de l’assurance- invalidité ne se justifie pas (pour un cas et une appréciation similaire : cf. les arrêts précités 8C_485/2021 consid. 5.3 et 9C_534/2010 consid. 4.3). Quant à l’éventualité d’une aide au placement, il sied de préciser que l’art. 18 al. 1 LAI subordonne son octroi à une incapacité de travail au sens de l’art. 6 LPGA. Le renvoi de l’art. 18 al. 1 LAI à cette dernière disposition ne vise pas seulement sa première phrase mais aussi sa deuxième : « En cas d’incapacité de travail de longue durée, l’activité qui peut être exigée de [l’assuré] peut aussi relever d’une autre profession ou d’un autre domaine d’activité ». En cas de capacité de travail entière dans une activité adaptée, il n’y a pas d’incapacité de travail au regard de l’art. 6 deuxième phrase LPGA et, par conséquent, pas de droit à une aide au placement (arrêt du Tribunal fédéral 9C_236/2012 du 15 février 2013 consid. 3.7). Même après l’entrée en vigueur de la 5ème révision de l'AI (au 1er janvier 2008) et dans l’hypothèse où l’exercice d’activités légères est pleinement exigible, l’octroi d’une aide au placement requiert en outre l’existence d’une restriction spécifique de nature médicale. Ainsi, lorsque l’absence de réadaptation professionnelle n’est pas due à des difficultés de recherche d'emploi, elles-mêmes liées à l’état de santé, mais à des problèmes étrangers à l'invalidité, les conditions d’octroi d’une aide au placement par l’assurance-invalidité ne sont pas remplies (cf. arrêt du Tribunal fédéral 9C_329/2020 du 6 août 2020 consid. 3.2.3). En l’espèce, le recourant possède une capacité de travail entière dans une activité adaptée (ci-dessus : consid. 10). En outre, il ne ressort pas des pièces du dossier – pas plus qu’il n’est soutenu par le recourant sur la base de celles-ci – que les restrictions découlant de son état de santé devraient avoir des répercussions dans une telle activité. Il se contente de mettre en exergue son absence de formation pour « un poste assis », sans qu’il soit établi, au degré de la vraisemblance prépondérante, que ce serait son état de santé qui l’entraverait dans ses démarches pour retrouver un emploi. Il ne ressort par ailleurs pas du dossier que le recourant aurait effectué de telles démarches depuis la survenance de son invalidité. Partant, une aide au placement doit lui être également refusée. 13. En résumé, la correction à la hausse du degré d’invalidité (de 10 à 12% ; cf. ci- dessus : consid. 11.4) n’est pas de nature à modifier l’absence de droit aux prestations découlant de la décision attaquée. 14. Compte tenu de ce qui précède, le recours doit être rejeté.</w:t>
      </w:r>
    </w:p>
    <w:p>
      <w:r>
        <w:t>A/4224/2021 - 22/22 - 15. Un émolument de CHF 200.- sera mis à la charge du recourant, qui n’obtient pas gain de cause (art. 69 al. 1bis LAI).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