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ATAS/915/2011 vom 29. September 2011</w:t>
      </w:r>
    </w:p>
    <w:p>
      <w:r>
        <w:t>GE Cour de justice, 2011-09-29, FR</w:t>
      </w:r>
    </w:p>
    <w:p>
      <w:r>
        <w:rPr>
          <w:b/>
        </w:rPr>
        <w:t xml:space="preserve">Quelle: </w:t>
      </w:r>
      <w:r>
        <w:t>https://mcp.opencaselaw.ch/entscheid/ge_gerichte_ATAS_915_2011</w:t>
      </w:r>
    </w:p>
    <w:p>
      <w:r>
        <w:t>FR: GE_GERICHTE ATAS/915/2011 du 29 septembre 2011</w:t>
      </w:r>
    </w:p>
    <w:p>
      <w:r>
        <w:t>IT: GE_GERICHTE ATAS/915/2011 del 29 settembre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Interjeté dans les forme et délai prévus par la loi, le recours est recevable (art. 56 et 60 LPGA).</w:t>
      </w:r>
    </w:p>
    <w:p>
      <w:r>
        <w:rPr>
          <w:b/>
        </w:rPr>
        <w:t>E. 3</w:t>
      </w:r>
    </w:p>
    <w:p>
      <w:r>
        <w:t>L'objet du litige consiste à déterminer si la recourante présente une atteinte à la santé ouvrant droit à des prestations de l'assurance-invalidité et plus particulièrement à une rente.</w:t>
      </w:r>
    </w:p>
    <w:p>
      <w:r>
        <w:rPr>
          <w:b/>
        </w:rPr>
        <w:t>E. 4</w:t>
      </w:r>
    </w:p>
    <w:p>
      <w:r>
        <w:t>a) En vertu de l'art. 28 al. 1 LAI, l'assuré a droit à une rente entière s'il est invalide à 70% au moins, à un trois quarts de rente s'il est invalide à 60% au moins, à une demi-rente s'il est invalide à 50% au moins, ou à un quart de rente s'il est invalide à 40% au moins. b)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l'assurée sur le marché du travail équilibré, si cette diminution résulte d'une atteinte à la santé physique ou mentale et qu'elle persiste après les traitements et les mesures de réadaptation exigibles. Il y a lieu de préciser</w:t>
      </w:r>
    </w:p>
    <w:p>
      <w:r>
        <w:t>A/161/2010 - 11/18 -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c)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d) Selon la jurisprudence, les troubles somatoformes douloureux n'entraînent pas, en règle générale, une limitation de longue durée de la capacité de travail pouvant conduire à une invalidité (ATF 130 V 354 consid. 2.2.3). Il existe une présomption que les troubles somatoformes douloureux ou leurs effets peuvent être surmontés par un effort de volonté raisonnablement exigible (ATF 131 V 50). Le Tribunal fédéral des assurances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130 V 354 et ATF 131 V 50). A cet égard, on retiendra, au premier plan, la présence d'une comorbidité psychiatrique importante par sa gravité, son acuité et sa durée. Peut constituer une telle comorbidité un état dépressif majeur (ATF 130 V 358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(ATF 132 V 65, consid. 4.2).</w:t>
      </w:r>
    </w:p>
    <w:p>
      <w:r>
        <w:t>A/161/2010 - 12/18 - Une expertise psychiatrique est, en principe, nécessaire quand il s'agit de se prononcer sur l'incapacité de travail que les troubles somatoformes douloureux sont susceptibles d'entraîner (ATF 130 V 353 consid. 2.2.2 et 399 consid. 5.3.2). Quand bien même le diagnostic de trouble somatoforme douloureux ou de fibromyalgie est d'abord le fait d'un médecin rhumatologue, il convient ici aussi d'exiger le concours d'un médecin spécialiste en psychiatrie, d'autant plus que, comme on l'a dit,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P. HENNINGSEN, Zur Begutachtung somatoformer Störungen, in : Praxis 94/2005, p. 2007 ss).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 BLANC, La procédure administrative en assurance-invalidité, thèse Fribourg 1999, p. 142). La tâche du médecin consiste à porter un jugement sur l'état de santé et à indiquer dans quelle</w:t>
      </w:r>
    </w:p>
    <w:p>
      <w:r>
        <w:t>A/161/2010 - 13/18 -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 Mélanges en l'honneur de Henri-Robert SCHÜPBACH, Bâle 2000 p. 268).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arrêt I 514/06 du 25 mai 2007 consid. 2.2.1, in :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9C_4/2009 du 20 novembre 2009, consid. 2.2).</w:t>
      </w:r>
    </w:p>
    <w:p>
      <w:r>
        <w:rPr>
          <w:b/>
        </w:rPr>
        <w:t>E. 6</w:t>
      </w:r>
    </w:p>
    <w:p>
      <w:r>
        <w:t>a) En premier lieu, la recourante critique le rapport d'expertise du Dr V____________, qui n'aurait pas tenu compte des diagnostics concernant ses</w:t>
      </w:r>
    </w:p>
    <w:p>
      <w:r>
        <w:t>A/161/2010 - 14/18 - genoux et ses problèmes lombaires, le raccourcissement de sa jambe droite entraînant une bascule du bassin, et qui a retenu que l'origine des douleurs ne pouvait être expliquée. b) Ce grief est mal fondé, sachant qu'après avoir diagnostiqué avec effet sur la capacité de travail un état douloureux chronique avec des symptômes médicalement inexpliqués, l'expert a exposé qu'à l'examen, cet état douloureux était localisé surtout à la colonne lombaire (épisodes de lombalgies communes), au genou gauche (dégénérescence ménisquale, symptomatique par période) et aux épaules (douleurs à la palpation des muscles trapèzes). c) Toutefois, au regard des principes jurisprudentiels relatifs aux troubles somatoformes douloureux exposé ci-dessus, la Chambre de céans constate le rapport du Dr V____________ ne permet pas de statuer à satisfaction de droit sur le caractère invalidant de l'état douloureux chronique présenté par la recourante. L'expert – qui n'a pas de spécialisation en psychiatrie, ni en rhumatologie d'ailleurs – n'a en particulier pas déterminé si la recourante disposait des ressources psychiques lui permettant de surmonter cet état, ni n'a d'ailleurs fixé un taux d'incapacité de travail en se contentant d'indiquer que ce taux était d'au moins 20% depuis 2007. Ainsi, le rapport du Dr V____________ ne devait pas permettre à l'OAI de prendre une décision. A partir du moment où le diagnostic invalidant retenu était celui d'état douloureux diffus, il se justifiait de se conformer à la jurisprudence du Tribunal fédéral relative aux troubles somatoformes douloureux, en mettant en œuvre une expertise bidisciplinaire en rhumatologique et psychiatrique. L'avis d'un psychiatre était d'autant plus nécessaire qu'à l'examen, l'expert avait constaté un freinage dans l'amplitude des mouvements et une démonstrativité appuyée et constante, ce qui pouvait être assimilé à une exagération des symptômes, et que le médecin traitant avait diagnostiqué un état dépressif. Le dossier sera dès lors renvoyé à l'intimé afin qu'il mette en œuvre une telle expertise bidisciplinaire, comportant un volet rhumatologique et un volet psychiatrique.</w:t>
      </w:r>
    </w:p>
    <w:p>
      <w:r>
        <w:rPr>
          <w:b/>
        </w:rPr>
        <w:t>E. 7</w:t>
      </w:r>
    </w:p>
    <w:p>
      <w:r>
        <w:t>a) Est également litigieux le choix de la méthode d'évaluation de l'invalidité. Tandis que l'OAI a retenu qu'au regard du principe de la vraisemblance prépondérante, l'on ne pouvait retenir un statut d'active et, partant, a appliqué la méthode spécifique d'évaluation de l'invalidité, la recourante soutient qu'elle aurait exercé une activité lucrative, ce qui impliquait le recours à la méthode ordinaire de comparaison des revenus. b) Pour déterminer la méthode applicable au cas particulier, il faut à chaque fois se demander ce que l'assuré aurait fait si l'atteinte à la santé n'était pas survenue. Lorsqu'il accomplit ses travaux habituels, il convient d'examiner, à la lumière de sa</w:t>
      </w:r>
    </w:p>
    <w:p>
      <w:r>
        <w:t>A/161/2010 - 15/18 -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117 V 194 consid. 3b p. 194; voir également ATF 133 V 504 consid. 3.3 p. 507, 131 V 51 consid. 5.1.2 p. 53 et 125 V 146 consid. 5c/bb p. 157; ATF 9C_49/2008 du 28 juillet 2008 consid. 3.1-3.4 et I 156/04 du 13 décembre 2005 consid. 5.1.2; ATF 9C_790/2010 du 8 juillet 2011, consid. 3.2). c) La réponse apportée à la question de savoir à quel taux d'activité la personne assurée travaillerait sans atteinte à la santé dépend de l'ensemble des circonstances personnelles, familiales, sociales, financières et professionnelles (ATF 130 V 393 consid. 3.3 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(ATF I 693/06 du 20 décembre 2006, consid. 4.1; ATF 9C_667/2007 du 12 juin 2008, consid. 3.1). d) En l'espèce, il ressort du dossier que la recourante, qui ne parle pas le français, n'a suivi que quatre années d'école primaire, n'a aucune formation professionnelle et n'a jamais exercé d'activité lucrative. Par ailleurs, dans sa demande de prestations de l'assurance-invalidité de mai 2009, elle a indiqué que son activité principale était celle de femme au foyer et qu'elle n'avait pas d'activité accessoire, sans rien inscrire sous la rubrique «périodes de chômage», ni indiquer qu'elle aurait souhaité travailler sans les atteintes à sa santé. De plus, aucun des médecins consultés n'a signalé que la recourante aurait souhaité démarrer une activité lucrative. Il est significatif que le dossier – y compris celui communiqué par la Caisse de chômage UNIA – ne renferme aucun certificat médical d'arrêt de travail. S'il est vrai que la recourante s'est inscrite au chômage en avril 2007 pour une activité à plein temps, il n'est pas moins vrai qu'à cette époque, elle a non seulement tu le fait qu'elle s'estimait totalement incapable de travailler pour cause de maladie (depuis le 16 mars 2007, selon les informations fournies dans sa demande de prestations de l'assurance-invalidité ) mais a indiqué, au contraire, qu'elle était médicalement apte à travailler à 100%, ce qui laisse accroire que l'objectif de son inscription au chômage était uniquement de percevoir des indemnités journalières et non de trouver un emploi. L'absence de la moindre preuve d'une quelconque recherche d'emploi dans le dossier de la Chambre de céans renforce cette idée. A cela s'ajoute</w:t>
      </w:r>
    </w:p>
    <w:p>
      <w:r>
        <w:t>A/161/2010 - 16/18 - le fait que rien ne semblait justifier la prise d'un emploi, puisque la situation financière du ménage n'était pas obérée (elle ne bénéficiait pas de l'aide sociale) et qu'il n'était pas vraisemblable que son mari eût été en mesure d'assumer la garde des enfants et, surtout, l'entretien de ménage, sachant qu'il était partiellement invalide. La recourante n'a d'ailleurs jamais exposé les motifs qui auraient justifié une telle prise d'emploi. Dans ces conditions, la Chambre de céans considère que la recourante n'a pas réussi à démontrer, avec une vraisemblance prépondérante, que, sans les atteintes à sa santé, elle aurait entamé une activité lucrative, alors que, précédemment, elle n'avait jamais travaillé. C'est donc à bon droit que l'intimé a retenu un statut d'assuré non actif.</w:t>
      </w:r>
    </w:p>
    <w:p>
      <w:r>
        <w:rPr>
          <w:b/>
        </w:rPr>
        <w:t>E. 8</w:t>
      </w:r>
    </w:p>
    <w:p>
      <w:r>
        <w:t>a) Pour évaluer l'invalidité des assurés travaillant dans le ménage, l'administration procède à une enquête sur les activités ménagères et fixe l'empêchement dans chacune des activités habituelles conformément aux chiffres 3096 et suivants de la Circulaire sur l'invalidité et l'impotence dans l'assurance-invalidité (CIIAI).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 I 308/04 et I 309/04 du 14 janvier 2005). Divers facteurs - analogues à ceux applicables pour déterminer la force probante de certificats médicaux (ATF 125 V 352 consid 3 a) - doivent être pris en considération pour juger de la valeur probante d'un rapport d'enquête. Il est ainsi essentiel que celui-ci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b) Pour satisfaire à l'obligation de réduire le dommage, une personne qui s'occupe du ménage doit faire ce que l'on peut raisonnablement attendre d'elle afin d'améliorer sa capacité de travail et réduire les effets de l'atteinte à la santé; elle doit</w:t>
      </w:r>
    </w:p>
    <w:p>
      <w:r>
        <w:t>A/161/2010 - 17/18 -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(ATFA non publié I 308/04 ainsi que I 309/04 du 14 janvier 2005 et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 c) En fonction des conclusions du rapport d'expertise bidisciplinaire que l'intimé devra mettre en œuvre, il lui appartiendra de procéder à une enquête économique sur les activités ménagères de la recourante.</w:t>
      </w:r>
    </w:p>
    <w:p>
      <w:r>
        <w:t>A/161/2010 - 18/18 -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