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ATAS/915/2009 vom 13. Juli 2009</w:t>
      </w:r>
    </w:p>
    <w:p>
      <w:r>
        <w:t>GE Cour de justice, 2009-07-13, FR</w:t>
      </w:r>
    </w:p>
    <w:p>
      <w:r>
        <w:rPr>
          <w:b/>
        </w:rPr>
        <w:t xml:space="preserve">Quelle: </w:t>
      </w:r>
      <w:r>
        <w:t>https://mcp.opencaselaw.ch/entscheid/ge_gerichte_ATAS_915_2009</w:t>
      </w:r>
    </w:p>
    <w:p>
      <w:r>
        <w:t>FR: GE_GERICHTE ATAS/915/2009 du 13 juillet 2009</w:t>
      </w:r>
    </w:p>
    <w:p>
      <w:r>
        <w:t>IT: GE_GERICHTE ATAS/915/2009 del 13 luglio 2009</w:t>
      </w:r>
    </w:p>
    <w:p>
      <w:pPr>
        <w:pStyle w:val="Heading2"/>
      </w:pPr>
      <w:r>
        <w:t>Erwägungen</w:t>
      </w:r>
    </w:p>
    <w:p>
      <w:r>
        <w:rPr>
          <w:b/>
        </w:rPr>
        <w:t>E. 1</w:t>
      </w:r>
    </w:p>
    <w:p>
      <w:r>
        <w:t>Conformément à l'art. 56V al. 1 let. a ch. 2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entrée en vigueur le 1er janvier 2003, est applicable au cas d'espèce.</w:t>
      </w:r>
    </w:p>
    <w:p>
      <w:r>
        <w:t>A/3264/2008 - 7/14 -</w:t>
      </w:r>
    </w:p>
    <w:p>
      <w:r>
        <w:rPr>
          <w:b/>
        </w:rPr>
        <w:t>E. 3</w:t>
      </w:r>
    </w:p>
    <w:p>
      <w:r>
        <w:t>Interjeté dans les délai et formes prescrits par la loi, le recours est recevable (art. 38 et 56 ss et LPGA).</w:t>
      </w:r>
    </w:p>
    <w:p>
      <w:r>
        <w:rPr>
          <w:b/>
        </w:rPr>
        <w:t>E. 4</w:t>
      </w:r>
    </w:p>
    <w:p>
      <w:r>
        <w:t>La loi fédérale du 16 décembre 2005 modifiant la loi fédérale sur l'assurance- invalidité est entrée en vigueur le 1er juillet 2006, apportant des modifications qui concernent notamment la procédure conduite devant le Tribunal fédéral des assurances (art. 132 al. 2 et 134 OJ). Le présent cas est soumis au nouveau droit, du moment que le recours de droit administratif a été formé après le 1er juillet 2006 (ch. II let. c des dispositions transitoires relatives à la modification du 16 décembre 2005). S'agissant des modifications de la LAI du 6 octobre 2006 (5ème révision de la LAI), entrées en vigueur le 1er janvier 2008 (à l'exception de l'art. 68quater entré en vigueur rétroactivement le 1er juillet 2007), il convient de relever que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Ces principes de droit intertemporel commandent ainsi l'examen du bien-fondé de la décision du 9 juillet 2008 à la lumière des anciennes dispositions de la LAI pour la période s'étendant jusqu'au 31 décembre 2007 et, le cas échéant, au regard des nouvelles dispositions de la LAI pour la période postérieure (ATF 130 V 332 consid. 2.2 et 2.3).</w:t>
      </w:r>
    </w:p>
    <w:p>
      <w:r>
        <w:rPr>
          <w:b/>
        </w:rPr>
        <w:t>E. 5</w:t>
      </w:r>
    </w:p>
    <w:p>
      <w:r>
        <w:t>En l'occurrence, il s'agit de déterminer le degré d'invalidité de la recourante. a)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w:t>
      </w:r>
    </w:p>
    <w:p>
      <w:r>
        <w:t>A/3264/2008 - 8/14 -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D’autre part, dans un arrêt du 8 février 2006 (ATF 132 V 65),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49). Au nombre des critères dégagés par la jurisprudence, qui permettent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w:t>
      </w:r>
    </w:p>
    <w:p>
      <w:r>
        <w:t>A/3264/2008 - 9/14 -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Plus ces critères se manifestent et imprègnent les constatations médicales, moins on admettra l’exigibilité d’un effort de volonté.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sur l’ensemble du sujet ATF 131 V 49 et les références citées). Par ailleurs, s’agissant des troubles dépressifs, il y a lieu d’observer que selon la doctrine médicale (cf. notamment DILLING/MOMBOUR/SCHMIDT [Hrsg.], Internationale Klassifikation psychischer Störungen, ICD-10 Kapitel V [F], 4e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et les références citées). Dans ce contexte, on rappellera encore que la reconnaissance du caractère invalidant de troubles somatoformes douloureux chez de jeunes assurés doit rester exceptionnelle en l’absence de comorbidité psychiatrique (ATFA non publié du 31 janvier 2006, I 488/04 et les références). b) Selon l'art. 28 al. 1 LAI dans sa teneur en vigueur jusqu'au 31 décembre 2003, l'assuré a droit à une rente entière s'il est invalide à 66 2/3 % au moins, à une demi- rente s'il est invalide à 50 % au moins, ou à un quart de rente s'il est invalide à 40 %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w:t>
      </w:r>
    </w:p>
    <w:p>
      <w:r>
        <w:t>A/3264/2008 - 10/14 -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et du 6 septembre 2004, I 249/04, consid. 4). c)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w:t>
      </w:r>
    </w:p>
    <w:p>
      <w:r>
        <w:t>A/3264/2008 - 11/14 - sous la forme d'une nouvelle expertise médicale (ATF 125 V 352 consid. 3b/aa et les références).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w:t>
      </w:r>
    </w:p>
    <w:p>
      <w:r>
        <w:rPr>
          <w:b/>
        </w:rPr>
        <w:t>E. 6</w:t>
      </w:r>
    </w:p>
    <w:p>
      <w:r>
        <w:t>En l'occurrence, se trouvent au dossier des rapports des médecins traitants, notamment des Drs C_________ et E________ ainsi qu'une expertise tridisciplinaire effectuée par le COMAI. Il convient tout d'abord de déterminer la valeur probante de cette expertise. Les experts ont examiné les différents rapports médicaux au dossier. Ils ont formulé des "données personnelles et administratives" ainsi que "des données subjectives". Ils ont livré un statut cardiologique, somatique et psychiatrique et ont répondu clairement aux questions posées. Ils ont également procédé à une synthèse et une discussion et ont formulé des conclusions claires et motivées. L'expertise est convaincante et ne comporte pas de contradiction. Elle doit dès lors se voir reconnaître pleine valeur probante au sens de la jurisprudence fédérale. Les experts diagnostiquent des lombalgies sur troubles statiques et dégénératifs modérés depuis 2004 (avec répercussion sur la capacité de travail). Les diagnostics de fibromyalgie, de gonarthrose discrète à droite, et de trouble dépressif récurrent, épisode actuel léger avec syndrome somatique, n'ont pas de répercussion sur la capacité de travail. La capacité de travail est selon les experts complète dans l'activité habituelle de la recourante, avec une diminution de rendement de 20 % sur le plan somatique, en raison des limitations fonctionnelles; elle est complète sans diminution de rendement dans une activité adaptée. Ces conclusions claires seront suivies par le Tribunal de céans. En effet, les médecins traitants n'apportent pas d'éléments permettant de mettre en doute l'appréciation des experts. Il n'apparaît en</w:t>
      </w:r>
    </w:p>
    <w:p>
      <w:r>
        <w:t>A/3264/2008 - 12/14 - effet pas convaincant que la recourante présente un état dépressif moyen ou sévère au vu du nombre de séances de psychothérapie par mois (une séance mensuelle) et le psychiatre traitant n'a pas posé d'éléments objectifs qui pourraient permettre de jeter des doutes sur les conclusions de l'expertise. Il se contente d'affirmer que les experts n'ont à son avis pas pris en compte la fibromyalgie, ce qui n'est pas le cas, puisque ceux-ci ont bien retenu ce diagnostic, qui n'a selon eux pas de répercussion sur la capacité de travail. A défaut d'une comorbidité psychiatrique grave, il convient d'examiner les critères qui permettent de juger du caractère invalidant de la fibromyalgie. Au vu des atteintes somatiques légères, le critère des affections corporelles chroniques n'est pas rempli. Il n'apparaît pas que la recourante souffre d'une perte d'intégration sociale dans toutes les manifestations, puisqu'elle a maintenu une certaine vie sociale, malgré son état de santé et la séparation et aucun médecin n'a parlé de l'échec des traitements ambulatoires ou stationnaires conformes aux règles de l'art. Ainsi, seul le critère de l'état psychique cristallisé pourrait être retenu, mais qui ne suffit pas, à lui seul, à qualifier la fibromyalgie d'invalidante. Enfin, il convient d'ajouter que la recourante est encore jeune, ce qui signifie que l'on doit se montrer d'autant plus sévère pour juger du caractère invalidant de la fibromyalgie. Au vu de ce qui précède, l'on doit tenir pour établi que la recourante présente une pleine capacité de travail dans son activité habituelle de nettoyeuse, avec une diminution de rendement de 20 % et une pleine capacité de travail sans diminution de rendement dans une activité adaptée.</w:t>
      </w:r>
    </w:p>
    <w:p>
      <w:r>
        <w:rPr>
          <w:b/>
        </w:rPr>
        <w:t>E. 7</w:t>
      </w:r>
    </w:p>
    <w:p>
      <w:r>
        <w:t>Cependant, il convient de constater que la recourante ne travaillait que 20 heures par semaine sur un horaire habituel hebdomadaire chez son employeur de 44 heures. Dès lors, elle travaillait à temps partiel et l'OCAI n'a pas examiné son degré d'invalidité dans la tenue de son ménage, soit les empêchements dans le ménage. Le dossier n'est par conséquent pas en état d'être jugé, à défaut d'une enquête à domicile permettant de déterminer lesdits empêchements ménagers. Il conviendra dès lors de renvoyer la cause à l'OCAI afin qu'il procède à une enquête à domicile permettant de déterminer le degré d'invalidité de la recourante dans les tâches ménagères et nouvelle décision tenant compte du degré global d'invalidité, tant dans l'activité professionnelle que dans l'activité ménagère.</w:t>
      </w:r>
    </w:p>
    <w:p>
      <w:r>
        <w:rPr>
          <w:b/>
        </w:rPr>
        <w:t>E. 8</w:t>
      </w:r>
    </w:p>
    <w:p>
      <w:r>
        <w:t>Au vu de ce qui précède, le recours sera partiellement admis au sens des considérants. La recourante qui obtient partiellement gain de cause aura droit à des dépens fixés à 800 fr.</w:t>
      </w:r>
    </w:p>
    <w:p>
      <w:r>
        <w:t>A/3264/2008 - 13/14 -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