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ATAS/915/2008 vom 14. Dezember 2006</w:t>
      </w:r>
    </w:p>
    <w:p>
      <w:r>
        <w:t>GE Cour de justice, 2006-12-14, FR</w:t>
      </w:r>
    </w:p>
    <w:p>
      <w:r>
        <w:rPr>
          <w:b/>
        </w:rPr>
        <w:t xml:space="preserve">Quelle: </w:t>
      </w:r>
      <w:r>
        <w:t>https://mcp.opencaselaw.ch/entscheid/ge_gerichte_ATAS_915_2008</w:t>
      </w:r>
    </w:p>
    <w:p>
      <w:r>
        <w:t>FR: GE_GERICHTE ATAS/915/2008 du 14 décembre 2006</w:t>
      </w:r>
    </w:p>
    <w:p>
      <w:r>
        <w:t>IT: GE_GERICHTE ATAS/915/2008 del 14 dicembre 2006</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du divorce a ordonné le partage par moitié des prestations de sortie acquises durant le mariage par les demandeurs. Les dates pertinentes sont, d’une part, celle du mariage, le 6 décembre 1991, d’autre part le 2 février 2008, date à laquelle le jugement de divorce est devenu exécutoire selon la Cour de justice.</w:t>
      </w:r>
    </w:p>
    <w:p>
      <w:r>
        <w:rPr>
          <w:b/>
        </w:rPr>
        <w:t>E. 4</w:t>
      </w:r>
    </w:p>
    <w:p>
      <w:r>
        <w:t>Selon les documents produits et comme mentionné ci-dessus, la prestation acquise pendant le mariage par le demandeur est de 32 164 fr. 45 fr. tandis que celle acquise par la demanderesse est de 1910,95 fr. , les intérêts ayant déjà été calculés par les institutions de prévoyance défenderesses. Ainsi le demandeur doit à son ex-épouse le montant de 16 082 fr. 25 (32 164 fr. 45 : 2) et celle-ci doit à celui-là le montant de 955,50 fr. (1910,95 fr.: 2), de sorte que c’est le demandeur qui doit à la demanderesse le montant de 15 126,75 fr.. À noter que, tant pour le demandeur que</w:t>
      </w:r>
    </w:p>
    <w:p>
      <w:r>
        <w:t>A/512/2008 4/5 pour la demanderesse, les décomptes produits par la FONDATION INSTITUTION SUPPLETIVE LPP tiennent compte de 55 fr. de frais de clôture, que la fondation déduit de l'avoir à disposition. Une telle manière de faire est erronée puisqu'à ce jour les comptes n'ont pas été clôturés. C'est la raison pour laquelle le Tribunal ajoute, dans un tel cas, systématiquement les 55 fr. de frais de clôture déduits à tort. De là provient la différence de calcul relevée par le mandataire du demandeur.</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 ***</w:t>
      </w:r>
    </w:p>
    <w:p>
      <w:r>
        <w:t>A/512/2008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