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ATAS/914/2018 vom 9. Oktober 2018</w:t>
      </w:r>
    </w:p>
    <w:p>
      <w:r>
        <w:t>GE Cour de justice, 2018-10-09, FR</w:t>
      </w:r>
    </w:p>
    <w:p>
      <w:r>
        <w:rPr>
          <w:b/>
        </w:rPr>
        <w:t xml:space="preserve">Quelle: </w:t>
      </w:r>
      <w:r>
        <w:t>https://mcp.opencaselaw.ch/entscheid/ge_gerichte_ATAS_914_2018</w:t>
      </w:r>
    </w:p>
    <w:p>
      <w:r>
        <w:t>FR: GE_GERICHTE ATAS/914/2018 du 9 octobre 2018</w:t>
      </w:r>
    </w:p>
    <w:p>
      <w:r>
        <w:t>IT: GE_GERICHTE ATAS/914/2018 del 9 ottobre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1er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w:t>
      </w:r>
    </w:p>
    <w:p>
      <w:r>
        <w:t>A/1569/2018 - 8/15 - revanche la procédure, et à défaut de règles transitoires contraires, le nouveau droit s'applique sans réserve dès le jour de son entrée en vigueur (ATF 117 V 93 consid. 6b, ATF 112 V 360 consid. 4a; RAMA 1998 KV 37 p. 316 consid. 3b).</w:t>
      </w:r>
    </w:p>
    <w:p>
      <w:r>
        <w:rPr>
          <w:b/>
        </w:rPr>
        <w:t>E. 3</w:t>
      </w:r>
    </w:p>
    <w:p>
      <w:r>
        <w:t>Le délai de recours est de trente jours (art. 60 al. 1 LPGA et art. 62 al. 1 let. a de la loi sur la procédure administrative du 12 septembre 1985 [LPA-GE - E 5 10]). Datée du 5 avril 2018, la décision entreprise a été notifiée le 9 avril 2018. Le délai de recours a commencé à courir le lendemain et est arrivé à échéance le 9 mai 2018. Posté le dernier jour du délai, le recours a été interjeté en temps utile. Respectant également les formes prescrites par la loi, il est recevable (art. 56 à 61 LPGA).</w:t>
      </w:r>
    </w:p>
    <w:p>
      <w:r>
        <w:rPr>
          <w:b/>
        </w:rPr>
        <w:t>E. 4</w:t>
      </w:r>
    </w:p>
    <w:p>
      <w:r>
        <w:t>Le litige porte sur le droit du recourant à des prestations d’assurance-invalidité, singulièrement sur l'aggravation de son état de santé depuis la décision de refus de prestations du 11 janvier 2013.</w:t>
      </w:r>
    </w:p>
    <w:p>
      <w:r>
        <w:rPr>
          <w:b/>
        </w:rPr>
        <w:t>E. 5</w:t>
      </w:r>
    </w:p>
    <w:p>
      <w:r>
        <w:t>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Lorsque l’administration entre en matière sur une nouvelle demande, elle doit examiner l’affaire au fond et vérifier que la modification de l’invalidité ou de l’impotence rendue plausible par l’assuré est réellement intervenue. Si elle arrive à la conclusion que l’invalidité ou l’impotence ne s’est pas modifiée depuis sa précédente décision de refus de prestations, elle rejette la nouvelle demande. Dans le cas contraire, elle doit examiner si la modification constatée suffit à fonder une invalidité ou une impotence. En cas de recours, le même devoir de contrôle incombe au juge (ATF 117 V 198 consid. 3a ; U. MEYER/ M. REICHMUTH, Bundesgesetz über die Invalidenversicherung, 3ème éd. 2014, n. 120 ad art. 30-31 LAI). En cas de nouvelle demande, la question de savoir si on est en présence d’une modification des circonstances propre à influer sur le taux d’invalidité et à justifier le droit à des prestations se tranche dans la procédure faisant suite à la nouvelle demande (examen matériel) – d’une manière analogue à celle de la révision selon l’art. 17 LPGA – en comparant l’état de fait ayant fondé la première décision de refus à celui existant au moment de la nouvelle décision litigieuse. En ce qui concerne cette comparaison, une décision de non-entrée en matière sur une ou plusieurs nouvelles demandes – après examen matériel et rejet du droit à la rente entrée en force – n’a aucune valeur juridique de référence (VSI 1999 p. 84 ; cf.</w:t>
      </w:r>
    </w:p>
    <w:p>
      <w:r>
        <w:t>A/1569/2018 - 9/15 - aussi ATF 130 V 343 consid. 3.5 et l’arrêt du Tribunal fédéral 9C_1012/2008 du 30 juin 2009).</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Le « marché équilibré du travail » au sens de l’art. 7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(ATF 110 V 273 consid. 4b). Il s’ensuit que pour l’évaluation de l’invalidité, il n’y a pas lieu d’examiner si un invalide peut être placé eu égard aux conditions concrètes du marché du travail, mais uniquement de se demander s’il pourrait encore exploiter économiquement sa capacité de travail résiduelle lorsque les places de travail disponibles correspondent à l’offre de main- d’œuvre (VSI 1998 p. 293 consid. 3b ; Michel VALTERIO, Droit de l’assurance- vieillesse et survivants [AVS] et de l’assurance-invalidité [AI], Commentaire thématique, p. 563-564 n. 2112).</w:t>
      </w:r>
    </w:p>
    <w:p>
      <w:r>
        <w:rPr>
          <w:b/>
        </w:rPr>
        <w:t>E. 7</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A/1569/2018 - 10/15 -</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b. L’assurance-invalidité assure les conséquences économiques des atteintes à la santé (cf. art. 4 al. 1 LAI) mais non les conséquences économiques d’une absence de bagage scolaire ; il existe, sous cet angle, un élément causal dans l’assurance- invalidité qui est en soi « finale » (cf. ATF 124 V 178 consid. 3b et les références). L’illettrisme fait ainsi partie des facteurs étrangers à l‘invalidité qui peuvent être pris en considération dans le cadre de l’examen d’une activité exigible dans le cas particulier (Pratique VSI 1999, p. 238 consid. 1). Il peut également justifier une réduction du revenu d’invalide lorsque ce dernier est déterminé sur la base de statistiques salariales (ATF 126 V 79 consid. 5b). En revanche, l’illettrisme comme tel ne permet pas l’octroi d’une rente d’invalidité (arrêt du Tribunal fédéral des assurances I 609/02 du 6 juin 2003 consid. 3.2). Cela vaut également pour d’autres facteurs tels que la mauvaise connaissance de la langue française (arrêt du Tribunal fédéral des assurances I 619/03 du 26 août 2004 consid. 3.1) ou l’absence de permis de conduire (arrêt du Tribunal fédéral 9C_523/2010 du 25 novembre 2010 consid. 3.1).</w:t>
      </w:r>
    </w:p>
    <w:p>
      <w:r>
        <w:rPr>
          <w:b/>
        </w:rPr>
        <w:t>E. 9</w:t>
      </w:r>
    </w:p>
    <w:p>
      <w:r>
        <w:t>a.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b.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w:t>
      </w:r>
    </w:p>
    <w:p>
      <w:r>
        <w:t>A/1569/2018 - 11/15 - nuit à la capacité de gain de l’assuré, ou si elle résulte elle-même d’une atteinte à la santé physique ou mentale qui a valeur de maladie (ATF 99 V 28 consid. 2; VSI 2002 p. 32 consid. 2a, 1996 p. 319 consid. 2a).</w:t>
      </w:r>
    </w:p>
    <w:p>
      <w:r>
        <w:rPr>
          <w:b/>
        </w:rPr>
        <w:t>E. 10</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w:t>
      </w:r>
    </w:p>
    <w:p>
      <w:r>
        <w:t>A/1569/2018 - 12/15 - l'une ou l'autre ou s'il y a lieu de procéder à une instruction complémentaire (arrêt du Tribunal fédéral 9C_518/2007 du 14 juillet 2008 consid. 3.2 et les références citées).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w:t>
      </w:r>
    </w:p>
    <w:p>
      <w:r>
        <w:rPr>
          <w:b/>
        </w:rPr>
        <w:t>E. 11</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12</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w:t>
      </w:r>
    </w:p>
    <w:p>
      <w:r>
        <w:t>A/1569/2018 - 13/15 - des données médicales (arrêt du Tribunal fédéral 9C_1012/2008 du 30 juin 2009 consid. 3.2.1).</w:t>
      </w:r>
    </w:p>
    <w:p>
      <w:r>
        <w:rPr>
          <w:b/>
        </w:rPr>
        <w:t>E. 13</w:t>
      </w:r>
    </w:p>
    <w:p>
      <w:r>
        <w:t>En l’espèce, il convient de comparer la situation telle qu’elle se présentait au moment de la décision du 11 janvier 2013 avec celle existant au moment de la décision du 5 avril 2018 afin d’apprécier si l’on est en présence d’une modification des circonstances propre à influer sur le taux d’invalidité et à justifier le droit à des prestations. Au moment de la décision initiale, le droit à rente d’invalidité avait été nié dès lors que le recourant n’avait présenté d’incapacité de travail qu’entre le 27 février et le 2 septembre 2012 et qu’ainsi, une incapacité de longue durée au sens de l’art. 28 al. 1 let. b et c LAI (une année) n’était pas donnée. En outre, des mesures professionnelles lui avaient été également refusées car sa capacité de travail était entière dans toute activité. Le 7 septembre 2016, le recourant a formé une nouvelle demande de prestations auprès de l’intimé, lors de laquelle la Dresse G______ a mis en exergue des facteurs indépendants de son état de santé (et donc non pertinents) tels que l’illettrisme et l’absence de permis de conduire (cf. ci-dessus : consid. 8b). En effet, il ne ressort d’aucun rapport versé au dossier que le recourant serait atteint d’une « infirmité congénitale » qui l’empêcherait d’apprendre à lire et à écrire, comme celui-ci le prétend dans le formulaire de demande de prestations déposé le 7 septembre 2016. La Dresse G______ a également fait état d’une dépendance à l’alcool, sans qu’il ne soit allégué que cette dernière aurait provoqué une atteinte à la santé physique ou mentale ou que cette addiction résulterait elle-même d’une atteinte à la santé ayant valeur de maladie (cf. ci-dessus : consid. 9b). À cela s’ajoute une dépression réactionnelle (au fait de ne pas trouver du travail) qui, à teneur du rapport du 19 octobre 2016 de la Dresse G______, ne fait pas obstacle à une capacité de travail pleine et entière dans une activité lucrative adaptée ne demandant pas de savoir lire, écrire ou conduire, permettant d’alterner les positions, ne s’exerçant pas principalement en marchant et ne nécessitant pas le port de charges lourdes. Quant au rapport du 30 janvier 2017 du Dr D______, interniste traitant, il retient certes moins de limitations fonctionnelles d’ordre physique que sa consœur psychiatre (pas de port de charges supérieures à 20 kg) et porte peu ou prou la même appréciation sur les capacités du recourant (restrictions dues à l’illettrisme). Quoi qu’il en soit, la Dresse G______ et le Dr D______ se rejoignent sur l’exigibilité de l’exercice à plein temps d’une activité adaptée.</w:t>
      </w:r>
    </w:p>
    <w:p>
      <w:r>
        <w:rPr>
          <w:b/>
        </w:rPr>
        <w:t>E. 14</w:t>
      </w:r>
    </w:p>
    <w:p>
      <w:r>
        <w:t>Sans se fonder sur des avis médicaux qui divergeraient sur ce dernier point, le recourant soutient que dès lors que les Drs D______ et G______ exprimeraient des avis discordants sur ses limitations fonctionnelles ainsi que leurs causes, il s’avérerait impossible de se prononcer « sur [sa] capacité de travail dans le cadre de son activité ordinaire d’homme à tout faire ou d’agent d’entretien » (cf. réplique, p. 2). En argumentant de la sorte, le recourant tente non seulement de substituer son appréciation personnelle à celle de ses médecins mais aussi, il omet de préciser,</w:t>
      </w:r>
    </w:p>
    <w:p>
      <w:r>
        <w:t>A/1569/2018 - 14/15 - d’une part, que le Dr H______ s’est bel et bien prononcé sur la capacité de travail en question en lui délivrant des arrêts de travail – motivés par une épicondylite passagère – du 8 septembre 2015 au 28 octobre 2015, dans le cadre de sa dernière activité exercée en tant que « homme de terrain à la mairie de Meyrin » (cf. rapport du Dr D______ du 30 janvier 2017) et, d’autre part, qu’à la fin du traitement de l’affection précitée, l’examen clinique s’était révélé normal (cf. rapport du 26 juillet 2017 du Dr H______). Au vu de ces éléments, le rapport du 8 février 2018 du Dr I______, sur lequel se fonde la décision litigieuse, ne prête pas le flanc à la critique en tant qu’il retient une capacité de travail exigible entière dans l’activité habituelle comme dans une activité adaptée. Du reste, la décision de refus de prestations – non contestée – du 11 janvier 2013 aboutissait à cette même conclusion (pas d’incapacité de travail durable dans l’activité habituelle et a fortiori pas non plus dans une activité adaptée) en présence de troubles physiques persistants et de limitations fonctionnelles similaires à ceux invoqués lors du dépôt de la nouvelle demande en septembre 2016 (cf. les rapports du Dr D______ des 7 juin 2012 et 13 septembre 2012, ainsi que le rapport du Dr F______ du 7 octobre 2011). Au demeurant, le Dr D______ ne mentionne plus, dans son rapport du 30 janvier 2017, la « douleur du genou persistante » dont il était encore question dans le rapport du 13 septembre 2012. En conséquence, force est de constater qu’il ne ressort pas de l’instruction médicale du dossier qu’on serait en présence, au degré de la vraisemblance prépondérante, d’une modification des circonstances propre à influer sur le taux d’invalidité par rapport à la décision initiale. Dans ces conditions, les faits pertinents de la cause sont suffisamment élucidés et point n’est besoin de renvoyer le dossier à l’intimé pour nouvelle décision basée sur une expertise des limitations fonctionnelles dont souffre le recourant et de leurs conséquences.</w:t>
      </w:r>
    </w:p>
    <w:p>
      <w:r>
        <w:rPr>
          <w:b/>
        </w:rPr>
        <w:t>E. 15</w:t>
      </w:r>
    </w:p>
    <w:p>
      <w:r>
        <w:t>Le recours sera donc rejeté.</w:t>
      </w:r>
    </w:p>
    <w:p>
      <w:r>
        <w:rPr>
          <w:b/>
        </w:rPr>
        <w:t>E. 16</w:t>
      </w:r>
    </w:p>
    <w:p>
      <w:r>
        <w:t>Étant donné que depuis le 1er juillet 2006, la procédure n’est plus gratuite (art. 69 al. 1bis LAI), il y a lieu de condamner le recourant au paiement d’un émolument, qui sera arrêté au montant minimal de CHF 200.-. Vu l’issue donnée au recours, il n’y a pas matière à allocation d’une indemnité de procédure (art. 61 let. g LPGA).</w:t>
      </w:r>
    </w:p>
    <w:p>
      <w:r>
        <w:t>A/1569/2018 - 15/15 -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