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ATAS/914/2008 vom 3. April 2008</w:t>
      </w:r>
    </w:p>
    <w:p>
      <w:r>
        <w:t>GE Cour de justice, 2008-04-03, FR</w:t>
      </w:r>
    </w:p>
    <w:p>
      <w:r>
        <w:rPr>
          <w:b/>
        </w:rPr>
        <w:t xml:space="preserve">Quelle: </w:t>
      </w:r>
      <w:r>
        <w:t>https://mcp.opencaselaw.ch/entscheid/ge_gerichte_ATAS_914_2008</w:t>
      </w:r>
    </w:p>
    <w:p>
      <w:r>
        <w:t>FR: GE_GERICHTE ATAS/914/2008 du 3 avril 2008</w:t>
      </w:r>
    </w:p>
    <w:p>
      <w:r>
        <w:t>IT: GE_GERICHTE ATAS/914/2008 del 3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A/2161/2008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juin 2005, d’autre part le 10 juin 2008, date à laquelle le jugement de divorce est devenu exécutoire.</w:t>
      </w:r>
    </w:p>
    <w:p>
      <w:r>
        <w:rPr>
          <w:b/>
        </w:rPr>
        <w:t>E. 4</w:t>
      </w:r>
    </w:p>
    <w:p>
      <w:r>
        <w:t>Selon les documents produits, le demandeur n'a pas d'avoir de prévoyance tandis que la prestation acquise par la demanderesse est de 37'579 fr., les intérêts ayant déjà été calculés par les institutions de prévoyance défenderesses. Ainsi l'épouse doit à l'ex-époux le montant de fr. 18'789 fr. 50 ( 37'579 fr. : 2). Celui-ci est actuellement sans résidence ni domicile connus. Par conséquent, la Fondation Institution supplétive LPP sera invitée à ouvrir un compte en sa faveur.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A/2161/2008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