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ATAS/912/2018 vom 9. Oktober 2018</w:t>
      </w:r>
    </w:p>
    <w:p>
      <w:r>
        <w:t>GE Cour de justice, 2018-10-09, FR</w:t>
      </w:r>
    </w:p>
    <w:p>
      <w:r>
        <w:rPr>
          <w:b/>
        </w:rPr>
        <w:t xml:space="preserve">Quelle: </w:t>
      </w:r>
      <w:r>
        <w:t>https://mcp.opencaselaw.ch/entscheid/ge_gerichte_ATAS_912_2018</w:t>
      </w:r>
    </w:p>
    <w:p>
      <w:r>
        <w:t>FR: GE_GERICHTE ATAS/912/2018 du 9 octobre 2018</w:t>
      </w:r>
    </w:p>
    <w:p>
      <w:r>
        <w:t>IT: GE_GERICHTE ATAS/912/2018 del 9 ottobre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w:t>
      </w:r>
    </w:p>
    <w:p>
      <w:r>
        <w:t>A/4684/2017 - 10/16 -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 art. 62 al. 1 de la de loi sur la procédure administrative du 12 septembre 1985 [LPA - E 5 10]). Interjeté dans la forme et le délai prévus par la loi, le recours est recevable (art. 56 ss LPGA et 62 ss LPA).</w:t>
      </w:r>
    </w:p>
    <w:p>
      <w:r>
        <w:rPr>
          <w:b/>
        </w:rPr>
        <w:t>E. 4</w:t>
      </w:r>
    </w:p>
    <w:p>
      <w:r>
        <w:t>Le litige porte sur le degré d’invalidité de la recourante à partir du 1er septembre 2013, singulièrement sur l’évaluation de sa capacité de travail.</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A/4684/2017 - 11/16 -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w:t>
      </w:r>
    </w:p>
    <w:p>
      <w:r>
        <w:t>A/4684/2017 - 12/16 - la valeur probante du rapport du médecin concerné et, par conséquent, la violation du principe mentionné (arrêt du Tribunal fédéral 9C/973/2011 du 4 mai 2012 consid. 3.2.1).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w:t>
      </w:r>
    </w:p>
    <w:p>
      <w:r>
        <w:rPr>
          <w:b/>
        </w:rPr>
        <w:t>E. 8</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w:t>
      </w:r>
    </w:p>
    <w:p>
      <w:r>
        <w:t>A/4684/2017 - 13/16 -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l’intimé a retenu, dans sa décision litigieuse du 25 octobre 2017, que la recourante disposait d’une capacité de travail de 50% dans son activité habituelle depuis le mois de septembre 2013. Il s’est fondé sur la détermination du SMR, elle- même basée sur le rapport des EPI du 2 novembre 2016. La recourante quant à elle conteste disposer d’une quelconque capacité de travail résiduelle en raison de ses nombreuses limitations fonctionnelles, et ce dans tout domaine d’activité.</w:t>
      </w:r>
    </w:p>
    <w:p>
      <w:r>
        <w:rPr>
          <w:b/>
        </w:rPr>
        <w:t>E. 11</w:t>
      </w:r>
    </w:p>
    <w:p>
      <w:r>
        <w:t>a. La chambre de céans souligne en premier lieu que les conclusions du rapport des EPI reposent sur la mesure d’observation qui s’est déroulée du 12 septembre au 9 octobre 2016. Elles ne sauraient donc rétroagir au début de la période d’incapacité de travail de la recourante. b. Si les pièces produites dans le cadre de la présente procédure ne permettent pas de se déterminer sur l’évolution de la capacité de travail de la recourante entre le 19 septembre 2013, date à laquelle l’intéressée a signalé une aggravation de son état de santé, et le 12 septembre 2016, elles établissent en revanche clairement que la recourante a présenté plusieurs périodes d’incapacité totale de travail. Ainsi, le Dr RAMADAN a indiqué le 6 novembre 2013 que la capacité de travail de sa patiente était nulle. La recourante a été opérée le 20 novembre 2013 et les suites opératoires ont été marquées par des complications. Le 3 mars 2014, le neurochirurgien a affirmé qu’une reprise du travail n’était en l’état pas possible et la recourante a derechef subi une intervention le 19 mai 2016. c. Pour ce motif déjà, la décision entreprise doit être annulée.</w:t>
      </w:r>
    </w:p>
    <w:p>
      <w:r>
        <w:rPr>
          <w:b/>
        </w:rPr>
        <w:t>E. 12</w:t>
      </w:r>
    </w:p>
    <w:p>
      <w:r>
        <w:t>a. La chambre de céans relève ensuite que, dans ses avis des 23 novembre et 7 décembre 2016, le Dr JUAN-TORRES s’est limité à reprendre les conclusions des EPI, sans faire la moindre référence aux rapports subséquents des Drs RAMADAN et LEDERREY. Faute de prendre en considération tous les renseignements médicaux versés au dossier, l’appréciation du Dr JUAN-TORRES est dénuée de toute valeur probante. En outre, il sied de constater que les limitations fonctionnelles énumérées dans le rapport du 23 novembre 2016 ne correspondent pas à celles retenues par les EPI, sans que l’on sache si le Dr JUAN-TORRES a entendu s’en écarter délibérément. De plus, le SMR a mentionné un certain nombre de restrictions dans cet avis, en se référant au rapport Dr RAMADAN du « 19.09.2013 ». Outre le fait que le dossier</w:t>
      </w:r>
    </w:p>
    <w:p>
      <w:r>
        <w:t>A/4684/2017 - 14/16 - ne comporte pas un tel document, il appert que le SMR n’a manifestement pas tenu compte de l’aggravation de l’état de santé de la recourante, laquelle a dû être opérée en novembre 2013 et en mai 2016. b. Il est encore observé que les médecins du SMR ont émis des opinions divergentes quant à la capacité de travail de la recourante dans son activité habituelle. En effet, la Dresse MUNSCH a conclu en octobre 2013 que la fonction de directrice d’EMS était parfaitement adaptée à l’état de santé de la recourante. Par la suite, la Dresse FRTUNIC-DESPOTOVIC a mentionné en octobre 2015 que ladite capacité de travail était nulle, sans autre motivation, et le Dr JUAN-TORRES a complété son rapport final le 7 décembre 2016 en précisant simplement que l’activité exercée par la recourante était adaptée à ses limitations fonctionnelles. Or, comme exposé ci-dessus, les restrictions retenues par le Dr JUAN-TORRES sont critiquables et ne prennent pas en considération l’aggravation de l’état de santé de la recourante. Il en va évidemment de même des avis des Dresses MUNSCH et FRTUNIC-DESPOTOVIC puisque la recourante a été opérée en novembre 2013 et en mai 2016.</w:t>
      </w:r>
    </w:p>
    <w:p>
      <w:r>
        <w:rPr>
          <w:b/>
        </w:rPr>
        <w:t>E. 13</w:t>
      </w:r>
    </w:p>
    <w:p>
      <w:r>
        <w:t>a. En ce qui concerne le stage d’observation, les évaluateurs des EPI ont considéré que la mesure avait permis de conclure à l’existence d’une capacité de travail résiduelle dans le secteur tertiaire à un taux d’activité de 50%, avec une baisse de rendement de 20%, dans une activité respectant les limitations fonctionnelles. Ils ont ainsi estimé que la recourante était capable de travailler une matinée entière, durant 4 heures, en alternant les positions, avec un rendement escompté de 80%. b. Le taux de la capacité de travail retenu par les EPI est clairement remis en cause par le Dr RAMADAN, consulté par la recourante à l’issue de la mesure d’observation, lequel a indiqué dans son rapport du 10 octobre 2016 qu’il ne pensait pas que sa patiente soit susceptible de pouvoir assumer un travail à 50%. Il a notamment relevé qu’en raison d’un syndrome vertébral lombaire chronique et d’une instabilité lombaire persistante, la recourante ne pouvait tenir aucune position de façon prolongée. Il a en outre confirmé que sa patiente avait dû reprendre des anti-inflammatoires et des antalgiques pour « tenir le coup » et achever le stage. L’appréciation des EPI est également mise à mal par les conclusions du rapport du 22 octobre 2016 du Dr LEDERREY, duquel il ressort que toute reprise d’activité est très irréaliste et que le pronostic professionnel paraît pauvre, d’autant plus qu’il n’y a pas de moyen de faire disparaître le handicap résiduel actuel. c. On relèvera à toutes fins utiles que les conclusions des EPI s’agissant de la baisse de rendement n’ont pas été suivies par le SMR, et partant par l’intimé, sans justification valable. En effet, il a été constaté que les activités de type bureaucratique avaient été réalisées avec un rythme soutenu, mais en-deçà des critères du premier marché de l’emploi, avec un rendement de l’ordre de 80%. Dans le même sens, le Dr LEDERREY a estimé que les rendements de la recourante étaient diminués en raison d’un manque de résistance suffisante. Or, dans son avis</w:t>
      </w:r>
    </w:p>
    <w:p>
      <w:r>
        <w:t>A/4684/2017 - 15/16 - du 23 novembre 2016, le Dr JUAN-TORRES a conclu que la diminution de rendement n’était que provisoire et pourrait être éliminée dès que la recourante aurait repris un rythme, une confiance en elle et un sens dans son activité professionnelle. Ces conclusions n’ont toutefois pas pu être confirmées à l’issue de la mesure COPAI, la recourante n’ayant pas donné suite à la proposition de l’intimé d’effectuer un stage destiné à évaluer si une augmentation des rendements pouvait être envisagée. Étant rappelé que le Dr RAMADAN a considéré que sa patiente n’était pas en mesure de travailler, même à temps partiel, on ne saurait en l’état reprocher à la recourante de ne pas avoir réalisé ledit stage. L’intimé ne pouvait donc pas non plus refuser de prendre en considération la baisse de rendement.</w:t>
      </w:r>
    </w:p>
    <w:p>
      <w:r>
        <w:rPr>
          <w:b/>
        </w:rPr>
        <w:t>E. 14</w:t>
      </w:r>
    </w:p>
    <w:p>
      <w:r>
        <w:t>Force est donc de constater que le dossier de l’intimé ne contient aucun document probant permettant de se déterminer sur le taux de la capacité de travail de la recourante depuis qu’elle a annoncé une aggravation de son état de santé au mois de septembre 2013, ainsi que l’évolution de la capacité de travail, que ce soit dans son activité habituelle ou dans une activité adaptée. L’intimé s’est contenté de rapports succincts et parfois contradictoires du SMR, dépourvus de toute motivation et rendus sur la base d’un dossier incomplet. Ces documents ne disposent pas d’une valeur probante suffisante. Il n’appartient pas au juge de suppléer aux carences administratives, de sorte que le dossier sera renvoyé à l’intimé afin qu’il ordonne une instruction sous la forme d’une expertise médicale indépendante auprès d’un spécialiste en neurochirurgie.</w:t>
      </w:r>
    </w:p>
    <w:p>
      <w:r>
        <w:rPr>
          <w:b/>
        </w:rPr>
        <w:t>E. 15</w:t>
      </w:r>
    </w:p>
    <w:p>
      <w:r>
        <w:t>Partant, le recours sera partiellement admis, la décision querellée annulée et le dossier renvoyé à l’intimé pour instruction complémentaire et nouvelle décision motivée.</w:t>
      </w:r>
    </w:p>
    <w:p>
      <w:r>
        <w:rPr>
          <w:b/>
        </w:rPr>
        <w:t>E. 16</w:t>
      </w:r>
    </w:p>
    <w:p>
      <w:r>
        <w:t>La recourante, qui obtient partiellement gain de cause, a droit à des dépens qui seront fixés à CHF 2'000.- (art. 61 let. g LPGA). La procédure de recours en matière de contestations portant sur l’octroi ou le refus de prestations de l’assurance-invalidité étant soumise à des frais de justice (art. 69 al. 1bis LAI), au vu du sort du recours, il y a lieu de condamner l’intimé au paiement d’un émolument de CHF 200.-.</w:t>
      </w:r>
    </w:p>
    <w:p>
      <w:r>
        <w:t>A/4684/2017 - 16/16 -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