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ATAS/912/2010 vom 7. September 2010</w:t>
      </w:r>
    </w:p>
    <w:p>
      <w:r>
        <w:t>GE Cour de justice, 2010-09-07, FR</w:t>
      </w:r>
    </w:p>
    <w:p>
      <w:r>
        <w:rPr>
          <w:b/>
        </w:rPr>
        <w:t xml:space="preserve">Quelle: </w:t>
      </w:r>
      <w:r>
        <w:t>https://mcp.opencaselaw.ch/entscheid/ge_gerichte_ATAS_912_2010</w:t>
      </w:r>
    </w:p>
    <w:p>
      <w:r>
        <w:t>FR: GE_GERICHTE ATAS/912/2010 du 7 septembre 2010</w:t>
      </w:r>
    </w:p>
    <w:p>
      <w:r>
        <w:t>IT: GE_GERICHTE ATAS/912/2010 del 7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le 5 août 2009, le recours contre la décision de l’OAI du 6 juillet 2009 intervient en temps utile (art. 60 al. 1 LPGA). Les autres conditions prévues par les art. 56 et ss LPGA étant réalisées, le recours est recevable.</w:t>
      </w:r>
    </w:p>
    <w:p>
      <w:r>
        <w:rPr>
          <w:b/>
        </w:rPr>
        <w:t>E. 4</w:t>
      </w:r>
    </w:p>
    <w:p>
      <w:r>
        <w:t>Le litige porte sur la détermination de l’incapacité de travail et sur le calcul du degré d’invalidité.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w:t>
      </w:r>
    </w:p>
    <w:p>
      <w:r>
        <w:t>A/2807/2009 - 10/16 -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A/2807/2009 - 11/16 -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S’agissant spécifiquement de l’abattement sur le salaire statistique,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rPr>
          <w:b/>
        </w:rPr>
        <w:t>E. 7</w:t>
      </w:r>
    </w:p>
    <w:p>
      <w:r>
        <w:t>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w:t>
      </w:r>
    </w:p>
    <w:p>
      <w:r>
        <w:t>A/2807/2009 - 12/16 -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w:t>
      </w:r>
    </w:p>
    <w:p>
      <w:r>
        <w:rPr>
          <w:b/>
        </w:rPr>
        <w:t>E. 8</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si la provenance et la qualité formelle des avis médicaux versés au dossier sont des facteurs permettant de pondérer la portée des différents rapports médicaux en présence, seul leur contenu matériel permet en définitive d'apprécier le droit litigieux. Aussi, un rapport médical ne saurait-il être écarté pour le seul motif qu'il a été établi par un médecin se trouvant dans un rapport de subordination vis-à-vis d'un assureur, comme un médecin au service du SMR (arrêts 9C_773/2007 du 23 juin 2008 consid. 5.3 et I 827/05 du 18 octobre 2006 consid. 3.2). Pour qu'un avis médical puisse être écarté, il est nécessaire qu'il existe des circonstances particulières qui permettent de justifier objectivement les doutes émis quant à l'impartialité ou au bien-fondé de l'évaluation (cf. ATF 125 V 351 consid. 3b p. 352)</w:t>
      </w:r>
    </w:p>
    <w:p>
      <w:r>
        <w:rPr>
          <w:b/>
        </w:rPr>
        <w:t>E. 9</w:t>
      </w:r>
    </w:p>
    <w:p>
      <w:r>
        <w:t>En l’espèce, l’OAI est parvenu à la conclusion que la recourante présentait un taux d’invalidité de 15 % (soit 0% dans l’activité salariée pondérée à hauteur de 50 % et 29,5 % dans la tenue du ménage également pondérée à hauteur de 50%). a) La recourante ne critique pas les éléments de pondération, lesquels correspondent d’ailleurs à ses propres déclarations.</w:t>
      </w:r>
    </w:p>
    <w:p>
      <w:r>
        <w:t>A/2807/2009 - 13/16 - b) S’agissant de la tenue du ménage, le Tribunal constate que la seule critique de la recourante consiste dans le fait que l’OAI a tenu compte de l’aide apportée par la famille. Il convient toutefois de rappeler, qu’au titre de son obligation de réduire le dommage, la personne assurée est tenue notamment d'adopter une méthode de travail appropriée, de répartir son travail en fonction de ses aptitudes et de ses disponibilités et de demander, dans la mesure du raisonnable, l'aide de ses proches (ATF 133 V 504 consid. 4.2 p. 509 et les références). Cette critique de la recourante n’est ainsi pas fondée, d’autant qu’il apparaît à la lecture de l’enquête économique du 18 février 2008 qu’il a été tenu compte des circonstances propres à la situation de l’époux de la recourante, afin de tenir compte d’une exigibilité réduite en terme d’aide de la part de ce dernier. Il s’en suit que le taux d’incapacité dans la tenue du ménage retenu par l’OAI n’est pas critiquable. c) S’agissant de sa capacité de travail, la recourante reproche à l’OAI de s’être fondé sur l’avis de ses propres médecins et d’avoir ignoré les avis des Dr O__________ et N__________, de même que d’avoir occulté que le CEMed avait préconisé un reclassement professionnel. Comme il ressort de la jurisprudence rappelée plus haut, l’avis du SMR ne saurait être écarté du seul fait qu’il a été établi par un médecin se trouvant dans un rapport de subordination vis-à-vis d’un assureur. Pour le surplus, l’avis du Dr W_________ du 16 mars 2009 remplit tous les critères jurisprudentiels permettant de lui reconnaître une pleine valeur probante. Il est de surcroît expliqué et convainquant. Le Dr W_________ parvient à une capacité de travail nulle dans l’activité habituelle de nettoyeuse et complète dans une activité adaptée aux limitations fonctionnelles clairement énumérées. Contrairement à ce qu’indique la recourante l’avis du Dr O__________ du 8 mai 2006 ne lui est pas plus favorable. Au contraire, il retenait une capacité de travail de 2 heures par jour dans l’activité habituelle et une pleine capacité dans une activité adaptée à des limitations fonctionnelles moins importantes. S’agissant de la Dresse N__________, il convient de tenir compte qu’il s’agit du médecin traitant, de sorte qu’il faut tenir compte du fait que selon l’expérience, en cas de doute, celui-ci pourrait être amené à prendre parti pour son patient en raison de la relation de confiance qui l’unit à ce dernier (ATF 125 V 353, consid. 3b/cc et les références).</w:t>
      </w:r>
    </w:p>
    <w:p>
      <w:r>
        <w:t>A/2807/2009 - 14/16 - Les avis de la Dresse N__________, au demeurant brefs et contenant peu d’explications ne remplissent, par ailleurs, pas les critères jurisprudentiels rappelés plus haut permettant de leur reconnaître une pleine valeur probante. De surcroît, ses avis ne contiennent pas de réelle critique de l’avis du Dr W_________, si ce n’est au sujet de la présence de vertiges ou de malaises. Cet élément ne semblant pas avoir été suffisamment pris en compte, il a été procédé à une instruction complémentaire sur ce point. Dans ce cadre, la Dresse N__________ n’a pas fourni de réelle explication ni de réelles réponses aux questions qui se posaient sur ce point. Contrairement à ce dont se prévaut la recourante, il ne ressort pas de l’avis de la Dresse N__________ un cumul de différentes pathologies. Ce médecin semble plutôt discuter différentes origines aux vertiges, sans se prononcer au sujet d’une origine à tout le moins vraisemblable, mais également sans exclure que plusieurs facteurs entrent en ligne de compte. Au contraire, le Dr A_________ du SMR a discuté de manière précise et détaillée la question et notamment les différentes causes de vertiges évoquées par la Dresse N__________, ceci sur la base des éléments fournis par ledit médecin. Le Tribunal s’estime convaincu par l’avis du Dr A_________, qui parvient à la conclusion de l’absence d’incapacité de travail liée aux vertiges. A ce sujet, il sera relevé que le Dr A_________ mentionne à juste titre des variations dans la fréquence des vertiges mentionnée par les différents intervenants. Notamment, la Dresse N__________ mentionne 2 à 3 malaises par semaine, alors qu’entendue par le Tribunal, la recourante a fait état de 1 à 2 vertiges par jour. C’est ainsi à tort que la recourante critique la détermination de l’OAI quant à une pleine capacité de travail dans une activité adaptée à ses limitations fonctionnelles. d) Pour le surplus, le calcul du taux d’invalidité dans l’activité salariée effectué par l’OAI n’est pas non plus critiquable, dès lors qu’il est conforme aux principes jurisprudentiels et légaux rappelés plus haut. En particulier, il a été jugé que le fait que dans l'une ou l'autre situation le salaire d'invalide déterminé au moyen des données ESS soit plus élevé que le revenu obtenu par l'assuré avant l'invalidité ne suffit pas à démontrer le caractère absurde de la méthode de référence aux salaires statistiques (Arrêt du Tribunal fédéral non publié du 6 février 2009 n° 9C_704/2008). S’agissant du revenu avec invalidité, il est fondé sur une base statistique appropriée tenant compte d’un abattement sur le revenu statistique également approprié et qui ne peut être revu par le Tribunal cantonal des assurances sociales qu’avec une certaine retenue.</w:t>
      </w:r>
    </w:p>
    <w:p>
      <w:r>
        <w:t>A/2807/2009 - 15/16 - S’agissant du revenu sans invalidité, le montant de 39'104 fr. pris en considération est largement favorable à la recourante, dès lors que tant ses revenus figurant dans sa déclaration fiscale pour l’année 2005 que ceux indiqué par ses employeurs sont largement inférieurs. e) Exempte de critique fondée, la décision de l’OAI du 6 juillet 2009 doit être confirmée</w:t>
      </w:r>
    </w:p>
    <w:p>
      <w:r>
        <w:rPr>
          <w:b/>
        </w:rPr>
        <w:t>E. 10</w:t>
      </w:r>
    </w:p>
    <w:p>
      <w:r>
        <w:t>Le recours sera ainsi rejeté.</w:t>
      </w:r>
    </w:p>
    <w:p>
      <w:r>
        <w:rPr>
          <w:b/>
        </w:rPr>
        <w:t>E. 11</w:t>
      </w:r>
    </w:p>
    <w:p>
      <w:r>
        <w:t>Un émolument de 200 fr. est mis à charge de la recourante, qui succombe (art. 69 al. 1bis LAI)</w:t>
      </w:r>
    </w:p>
    <w:p>
      <w:r>
        <w:t>A/2807/2009 - 16/16 -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